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64"/>
        </w:rPr>
        <w:t>RAC INCORPORATED</w:t>
      </w:r>
    </w:p>
    <w:p>
      <w:r>
        <w:rPr>
          <w:sz w:val="38"/>
        </w:rPr>
        <w:t>Craig Engel, General Contractor</w:t>
      </w:r>
    </w:p>
    <w:p>
      <w:r>
        <w:rPr>
          <w:sz w:val="34"/>
        </w:rPr>
        <w:t>1267 N 1390 W, Saint George, UT 84770   |   (435) 229-7360   |   racinc19@gmail.com</w:t>
      </w:r>
    </w:p>
    <w:p/>
    <w:p>
      <w:r>
        <w:rPr>
          <w:b/>
          <w:sz w:val="72"/>
        </w:rPr>
        <w:t>CHANGE ORDER CO-010 — ADDENDUM</w:t>
      </w:r>
    </w:p>
    <w:p>
      <w:pPr>
        <w:spacing w:after="800"/>
      </w:pPr>
      <w:r>
        <w:rPr>
          <w:sz w:val="52"/>
        </w:rPr>
        <w:t>ADU Shower Correction (Body Spray to Non–Body Spray)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Project:</w:t>
            </w:r>
          </w:p>
        </w:tc>
        <w:tc>
          <w:tcPr>
            <w:tcW w:type="dxa" w:w="2160"/>
          </w:tcPr>
          <w:p>
            <w:r>
              <w:t>Rodriguez Residence – Oak Valley Estates Lot 5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March 19, 2026</w:t>
            </w:r>
          </w:p>
        </w:tc>
      </w:tr>
      <w:tr>
        <w:tc>
          <w:tcPr>
            <w:tcW w:type="dxa" w:w="2160"/>
          </w:tcPr>
          <w:p>
            <w:r>
              <w:t>Owner:</w:t>
            </w:r>
          </w:p>
        </w:tc>
        <w:tc>
          <w:tcPr>
            <w:tcW w:type="dxa" w:w="2160"/>
          </w:tcPr>
          <w:p>
            <w:r>
              <w:t>Mr. &amp; Mrs. Rodriguez</w:t>
            </w:r>
          </w:p>
        </w:tc>
        <w:tc>
          <w:tcPr>
            <w:tcW w:type="dxa" w:w="2160"/>
          </w:tcPr>
          <w:p>
            <w:r>
              <w:t>CO Number:</w:t>
            </w:r>
          </w:p>
        </w:tc>
        <w:tc>
          <w:tcPr>
            <w:tcW w:type="dxa" w:w="2160"/>
          </w:tcPr>
          <w:p>
            <w:r>
              <w:t>CO-010 (Addendum)</w:t>
            </w:r>
          </w:p>
        </w:tc>
      </w:tr>
      <w:tr>
        <w:tc>
          <w:tcPr>
            <w:tcW w:type="dxa" w:w="2160"/>
          </w:tcPr>
          <w:p>
            <w:r>
              <w:t>Location:</w:t>
            </w:r>
          </w:p>
        </w:tc>
        <w:tc>
          <w:tcPr>
            <w:tcW w:type="dxa" w:w="2160"/>
          </w:tcPr>
          <w:p>
            <w:r>
              <w:t>Liberty Lane, Kanarraville, UT 84742</w:t>
            </w:r>
          </w:p>
        </w:tc>
        <w:tc>
          <w:tcPr>
            <w:tcW w:type="dxa" w:w="2160"/>
          </w:tcPr>
          <w:p>
            <w:r>
              <w:t>Credit:</w:t>
            </w:r>
          </w:p>
        </w:tc>
        <w:tc>
          <w:tcPr>
            <w:tcW w:type="dxa" w:w="2160"/>
          </w:tcPr>
          <w:p>
            <w:r>
              <w:t>($201.00)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spacing w:before="400" w:after="800"/>
      </w:pPr>
      <w:r>
        <w:rPr>
          <w:b/>
          <w:sz w:val="28"/>
        </w:rPr>
        <w:t>COST IMPACT: This addendum provides a $201.00 credit to the Owner. The ADU shower is changed from the body spray set to the non–body spray set. Net adjustment to CO-010: original $1,697.00 less $201.00 credit = $1,496.00.</w:t>
      </w:r>
    </w:p>
    <w:p>
      <w:pPr>
        <w:spacing w:before="800" w:after="240"/>
      </w:pPr>
      <w:r>
        <w:rPr>
          <w:b/>
          <w:sz w:val="48"/>
        </w:rPr>
        <w:t>SCOPE</w:t>
      </w:r>
    </w:p>
    <w:p>
      <w:r>
        <w:rPr>
          <w:sz w:val="24"/>
        </w:rPr>
        <w:t>ADU (Casita) shower fixture change: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 / SKU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Originally specified (body spray set)</w:t>
            </w:r>
          </w:p>
        </w:tc>
        <w:tc>
          <w:tcPr>
            <w:tcW w:type="dxa" w:w="2160"/>
          </w:tcPr>
          <w:p>
            <w:r>
              <w:t>SGF10GJ-64-BL16</w:t>
            </w:r>
          </w:p>
        </w:tc>
        <w:tc>
          <w:tcPr>
            <w:tcW w:type="dxa" w:w="2160"/>
          </w:tcPr>
          <w:p>
            <w:r>
              <w:t>$710.00</w:t>
            </w:r>
          </w:p>
        </w:tc>
        <w:tc>
          <w:tcPr>
            <w:tcW w:type="dxa" w:w="2160"/>
          </w:tcPr>
          <w:p>
            <w:r>
              <w:t>Rain head, secondary head, 6 body jets, handheld, 5-knob control</w:t>
            </w:r>
          </w:p>
        </w:tc>
      </w:tr>
      <w:tr>
        <w:tc>
          <w:tcPr>
            <w:tcW w:type="dxa" w:w="2160"/>
          </w:tcPr>
          <w:p>
            <w:r>
              <w:t>Revised to (non–body spray set)</w:t>
            </w:r>
          </w:p>
        </w:tc>
        <w:tc>
          <w:tcPr>
            <w:tcW w:type="dxa" w:w="2160"/>
          </w:tcPr>
          <w:p>
            <w:r>
              <w:t>SGF10GJ-03A-BL12</w:t>
            </w:r>
          </w:p>
        </w:tc>
        <w:tc>
          <w:tcPr>
            <w:tcW w:type="dxa" w:w="2160"/>
          </w:tcPr>
          <w:p>
            <w:r>
              <w:t>$509.00</w:t>
            </w:r>
          </w:p>
        </w:tc>
        <w:tc>
          <w:tcPr>
            <w:tcW w:type="dxa" w:w="2160"/>
          </w:tcPr>
          <w:p>
            <w:r>
              <w:t>12" triple handle 7-spray, rain head, handheld, anti-scald valve</w:t>
            </w:r>
          </w:p>
        </w:tc>
      </w:tr>
      <w:tr>
        <w:tc>
          <w:tcPr>
            <w:tcW w:type="dxa" w:w="2160"/>
          </w:tcPr>
          <w:p>
            <w:r>
              <w:t>Credit to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($201.00)</w:t>
            </w:r>
          </w:p>
        </w:tc>
        <w:tc>
          <w:tcPr>
            <w:tcW w:type="dxa" w:w="2160"/>
          </w:tcPr>
          <w:p>
            <w:r>
              <w:t>Difference credited</w:t>
            </w:r>
          </w:p>
        </w:tc>
      </w:tr>
    </w:tbl>
    <w:p/>
    <w:p/>
    <w:p>
      <w:pPr>
        <w:spacing w:before="800" w:after="240"/>
      </w:pPr>
      <w:r>
        <w:rPr>
          <w:b/>
          <w:sz w:val="48"/>
        </w:rPr>
        <w:t>AUTHORIZATION</w:t>
      </w:r>
    </w:p>
    <w:p>
      <w:pPr>
        <w:spacing w:after="600"/>
      </w:pPr>
      <w:r>
        <w:rPr>
          <w:sz w:val="24"/>
        </w:rPr>
        <w:t>By signing below, Owner acknowledges the ADU shower change described above and accepts the $201.00 credit. This addendum amends Change Order CO-010. The revised net addition to the contract sum for CO-010 is $1,496.00.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___________________________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___________________________</w:t>
            </w:r>
          </w:p>
        </w:tc>
      </w:tr>
      <w:tr>
        <w:tc>
          <w:tcPr>
            <w:tcW w:type="dxa" w:w="2880"/>
          </w:tcPr>
          <w:p>
            <w:r>
              <w:t>Craig Engel — RAC Incorporated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Owner — Rodriguez Residence</w:t>
            </w:r>
          </w:p>
        </w:tc>
      </w:tr>
      <w:tr>
        <w:tc>
          <w:tcPr>
            <w:tcW w:type="dxa" w:w="2880"/>
          </w:tcPr>
          <w:p>
            <w:r>
              <w:t>General Contractor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