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5F8A"/>
          <w:sz w:val="48"/>
          <w:szCs w:val="48"/>
        </w:rPr>
        <w:t xml:space="preserve">CHANGE ORDER</w:t>
      </w:r>
    </w:p>
    <w:p>
      <w:pPr>
        <w:pBdr>
          <w:bottom w:val="single" w:color="2C5F8A" w:sz="6" w:space="1"/>
        </w:pBdr>
        <w:spacing w:after="400"/>
        <w:jc w:val="center"/>
      </w:pPr>
      <w:r>
        <w:rPr>
          <w:rFonts w:ascii="Arial" w:cs="Arial" w:eastAsia="Arial" w:hAnsi="Arial"/>
          <w:color w:val="444444"/>
          <w:sz w:val="24"/>
          <w:szCs w:val="24"/>
        </w:rPr>
        <w:t xml:space="preserve">Rodriguez Residence — Oak Valley Estates Lot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Change Order #:</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CO-002</w:t>
            </w:r>
          </w:p>
        </w:tc>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February 19, 2026</w:t>
            </w:r>
          </w:p>
        </w:tc>
      </w:tr>
      <w:tr>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Rodriguez Residence</w:t>
            </w:r>
          </w:p>
        </w:tc>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Contractor:</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RAC Inc.</w:t>
            </w:r>
          </w:p>
        </w:tc>
      </w:tr>
      <w:tr>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Vendor:</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Target Inc.</w:t>
            </w:r>
          </w:p>
        </w:tc>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Contact:</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Chris Hart</w:t>
            </w:r>
          </w:p>
        </w:tc>
      </w:tr>
    </w:tbl>
    <w:p>
      <w:pPr>
        <w:spacing w:after="300"/>
      </w:pPr>
    </w:p>
    <w:p>
      <w:pPr>
        <w:spacing w:after="120"/>
      </w:pPr>
      <w:r>
        <w:rPr>
          <w:rFonts w:ascii="Arial" w:cs="Arial" w:eastAsia="Arial" w:hAnsi="Arial"/>
          <w:b/>
          <w:bCs/>
          <w:color w:val="2C5F8A"/>
          <w:sz w:val="24"/>
          <w:szCs w:val="24"/>
        </w:rPr>
        <w:t xml:space="preserve">DESCRIPTION OF CHANGE</w:t>
      </w:r>
    </w:p>
    <w:p>
      <w:pPr>
        <w:spacing w:after="300"/>
      </w:pPr>
      <w:r>
        <w:rPr>
          <w:rFonts w:ascii="Arial" w:cs="Arial" w:eastAsia="Arial" w:hAnsi="Arial"/>
          <w:sz w:val="20"/>
          <w:szCs w:val="20"/>
        </w:rPr>
        <w:t xml:space="preserve">Client has elected to upgrade the shooting range equipment package from the Basic Home Shooting Range Package to the High End Home Shooting Range Package per the Action Target proposal dated February 2,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80"/>
        <w:gridCol w:w="2250"/>
        <w:gridCol w:w="2250"/>
      </w:tblGrid>
      <w:tr>
        <w:tc>
          <w:tcPr>
            <w:tcW w:type="dxa" w:w="55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Basic Home Shooting Range Package (original contract)</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$137,578.00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2-Lane range, 9'-11" wide x 60' long, 40' shooting distance</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Rubber Berm Trap, Minimal Ceiling Baffles, (2) SRET Retrievers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 Guardsman Series Shooting Stalls, PEPP Acoustical 880 SF</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Full Factory Installation &amp; Shipping (20,000 lbs)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shd w:fill="EAF2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End Home Shooting Range Package (upgraded)</w:t>
            </w:r>
          </w:p>
        </w:tc>
        <w:tc>
          <w:tcPr>
            <w:tcW w:type="dxa" w:w="2250"/>
            <w:tcBorders>
              <w:top w:val="single" w:color="2C5F8A" w:sz="4"/>
              <w:left w:val="single" w:color="2C5F8A" w:sz="4"/>
              <w:bottom w:val="single" w:color="2C5F8A" w:sz="4"/>
              <w:right w:val="single" w:color="2C5F8A" w:sz="4"/>
            </w:tcBorders>
            <w:shd w:fill="EAF2FB"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$180,152.00</w:t>
            </w:r>
          </w:p>
        </w:tc>
        <w:tc>
          <w:tcPr>
            <w:tcW w:type="dxa" w:w="2250"/>
            <w:tcBorders>
              <w:top w:val="single" w:color="2C5F8A" w:sz="4"/>
              <w:left w:val="single" w:color="2C5F8A" w:sz="4"/>
              <w:bottom w:val="single" w:color="2C5F8A" w:sz="4"/>
              <w:right w:val="single" w:color="2C5F8A" w:sz="4"/>
            </w:tcBorders>
            <w:shd w:fill="EAF2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2-Lane range, 9'-11" wide x 60' long, 40' shooting distance</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Rubber Berm Trap, Minimal Ceiling Baffles, (2) Genesis Wireless Retrievers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 Defender Series Glass Shooting Stalls, PEPP Acoustical 880 SF</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Full Factory Installation &amp; Shipping (20,000 lbs)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Difference (High End minus Basic)</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$42,574.00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RAC Inc. General Contractor Markup (10%)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$0.00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ORDER TOTAL</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$42,574.00</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400"/>
      </w:pPr>
    </w:p>
    <w:p>
      <w:pPr>
        <w:spacing w:after="120"/>
      </w:pPr>
      <w:r>
        <w:rPr>
          <w:rFonts w:ascii="Arial" w:cs="Arial" w:eastAsia="Arial" w:hAnsi="Arial"/>
          <w:b/>
          <w:bCs/>
          <w:color w:val="2C5F8A"/>
          <w:sz w:val="24"/>
          <w:szCs w:val="24"/>
        </w:rPr>
        <w:t xml:space="preserve">NOTES</w:t>
      </w:r>
    </w:p>
    <w:p>
      <w:pPr>
        <w:spacing w:after="80"/>
      </w:pPr>
      <w:r>
        <w:rPr>
          <w:rFonts w:ascii="Arial" w:cs="Arial" w:eastAsia="Arial" w:hAnsi="Arial"/>
          <w:sz w:val="20"/>
          <w:szCs w:val="20"/>
        </w:rPr>
        <w:t xml:space="preserve">1.  Action Target proposal validity: 60 days from February 2, 2026.</w:t>
      </w:r>
    </w:p>
    <w:p>
      <w:pPr>
        <w:spacing w:after="80"/>
      </w:pPr>
      <w:r>
        <w:rPr>
          <w:rFonts w:ascii="Arial" w:cs="Arial" w:eastAsia="Arial" w:hAnsi="Arial"/>
          <w:sz w:val="20"/>
          <w:szCs w:val="20"/>
        </w:rPr>
        <w:t xml:space="preserve">2.  ATI payment terms: 25% down / 25% drawings / 40% pre-shipment / 10% upon completion.</w:t>
      </w:r>
    </w:p>
    <w:p>
      <w:pPr>
        <w:spacing w:after="80"/>
      </w:pPr>
      <w:r>
        <w:rPr>
          <w:rFonts w:ascii="Arial" w:cs="Arial" w:eastAsia="Arial" w:hAnsi="Arial"/>
          <w:sz w:val="20"/>
          <w:szCs w:val="20"/>
        </w:rPr>
        <w:t xml:space="preserve">3.  Manufacturing lead time: minimum 16 weeks from Notice to Proceed.</w:t>
      </w:r>
    </w:p>
    <w:p>
      <w:pPr>
        <w:spacing w:after="80"/>
      </w:pPr>
      <w:r>
        <w:rPr>
          <w:rFonts w:ascii="Arial" w:cs="Arial" w:eastAsia="Arial" w:hAnsi="Arial"/>
          <w:sz w:val="20"/>
          <w:szCs w:val="20"/>
        </w:rPr>
        <w:t xml:space="preserve">4.  Steel pricing subject to adjustment per ATI steel pricing terms at Notice to Proceed.</w:t>
      </w:r>
    </w:p>
    <w:p>
      <w:pPr>
        <w:spacing w:after="80"/>
      </w:pPr>
      <w:r>
        <w:rPr>
          <w:rFonts w:ascii="Arial" w:cs="Arial" w:eastAsia="Arial" w:hAnsi="Arial"/>
          <w:sz w:val="20"/>
          <w:szCs w:val="20"/>
        </w:rPr>
        <w:t xml:space="preserve">5.  All conduit, electrical, HVAC, and internet services remain GC/Owner scope per ATI proposal.</w:t>
      </w:r>
    </w:p>
    <w:p>
      <w:pPr>
        <w:spacing w:after="80"/>
      </w:pPr>
      <w:r>
        <w:rPr>
          <w:rFonts w:ascii="Arial" w:cs="Arial" w:eastAsia="Arial" w:hAnsi="Arial"/>
          <w:sz w:val="20"/>
          <w:szCs w:val="20"/>
        </w:rPr>
        <w:t xml:space="preserve">6.  Wall Baffles option (+$44,000) NOT included in this change order.</w:t>
      </w:r>
    </w:p>
    <w:p>
      <w:pPr>
        <w:spacing w:after="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0"/>
            </w:pPr>
            <w:r>
              <w:rPr>
                <w:rFonts w:ascii="Arial" w:cs="Arial" w:eastAsia="Arial" w:hAnsi="Arial"/>
                <w:b/>
                <w:bCs/>
                <w:color w:val="2C5F8A"/>
                <w:sz w:val="18"/>
                <w:szCs w:val="18"/>
              </w:rPr>
              <w:t xml:space="preserve">APPROVED BY: OWNER</w:t>
            </w: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Signature / Date</w:t>
            </w:r>
          </w:p>
          <w:p>
            <w:pPr>
              <w:spacing w:after="400"/>
            </w:pP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Printed Name</w:t>
            </w:r>
          </w:p>
        </w:tc>
        <w:tc>
          <w:tcPr>
            <w:tcW w:type="dxa" w:w="72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0"/>
            </w:pPr>
            <w:r>
              <w:rPr>
                <w:rFonts w:ascii="Arial" w:cs="Arial" w:eastAsia="Arial" w:hAnsi="Arial"/>
                <w:b/>
                <w:bCs/>
                <w:color w:val="2C5F8A"/>
                <w:sz w:val="18"/>
                <w:szCs w:val="18"/>
              </w:rPr>
              <w:t xml:space="preserve">APPROVED BY: RAC INC.</w:t>
            </w: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Signature / Date</w:t>
            </w:r>
          </w:p>
          <w:p>
            <w:pPr>
              <w:spacing w:after="400"/>
            </w:pP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Printed Name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2026-02-19T18:32:13.716Z</dcterms:created>
  <dcterms:modified xsi:type="dcterms:W3CDTF">2026-02-19T18:32:13.717Z</dcterms:modified>
</cp:coreProperties>
</file>

<file path=docProps/custom.xml><?xml version="1.0" encoding="utf-8"?>
<Properties xmlns="http://schemas.openxmlformats.org/officeDocument/2006/custom-properties" xmlns:vt="http://schemas.openxmlformats.org/officeDocument/2006/docPropsVTypes"/>
</file>