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36"/>
          <w:szCs w:val="36"/>
        </w:rPr>
        <w:t xml:space="preserve">CHANGE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Change Order No:</w:t>
            </w:r>
          </w:p>
        </w:tc>
        <w:tc>
          <w:tcPr>
            <w:tcW w:type="dxa" w:w="6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CO-001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Date:</w:t>
            </w:r>
          </w:p>
        </w:tc>
        <w:tc>
          <w:tcPr>
            <w:tcW w:type="dxa" w:w="6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February 6, 2026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Project:</w:t>
            </w:r>
          </w:p>
        </w:tc>
        <w:tc>
          <w:tcPr>
            <w:tcW w:type="dxa" w:w="6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Liberty Lane Residence (Rodriguez Residence)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Location:</w:t>
            </w:r>
          </w:p>
        </w:tc>
        <w:tc>
          <w:tcPr>
            <w:tcW w:type="dxa" w:w="6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Oak Valley Estates Lot 5, Liberty Lane, Kanarraville, UT 84742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Owner:</w:t>
            </w:r>
          </w:p>
        </w:tc>
        <w:tc>
          <w:tcPr>
            <w:tcW w:type="dxa" w:w="6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ARJR Kanarraville Holdings, LLC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Contractor:</w:t>
            </w:r>
          </w:p>
        </w:tc>
        <w:tc>
          <w:tcPr>
            <w:tcW w:type="dxa" w:w="6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RAC Inc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Original Contract Price:</w:t>
            </w:r>
          </w:p>
        </w:tc>
        <w:tc>
          <w:tcPr>
            <w:tcW w:type="dxa" w:w="6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$3,168,660.00</w:t>
            </w:r>
          </w:p>
        </w:tc>
      </w:tr>
    </w:tbl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DESCRIPTION OF CHANGE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Upgrade three (3) sliding doors from manual operation to automatic sliding door system. Automatic door system includes motorized operator, controls, and integration.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160"/>
        <w:gridCol w:w="1600"/>
        <w:gridCol w:w="2000"/>
      </w:tblGrid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5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QTY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AMOUNT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5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Dining Sliding Door - Automatic Upgrade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$6,679.65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5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Primary Bedroom Sliding Door - Automatic Upgrade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$6,679.65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5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Primary Bathroom Sliding Door - Automatic Upgrade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$6,679.65</w:t>
            </w:r>
          </w:p>
        </w:tc>
      </w:tr>
      <w:tr>
        <w:tc>
          <w:tcPr>
            <w:tcW w:type="dxa" w:w="7360"/>
            <w:gridSpan w:val="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CHANGE ORDER TOTAL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$20,038.95</w:t>
            </w:r>
          </w:p>
        </w:tc>
      </w:tr>
    </w:tbl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60"/>
        <w:gridCol w:w="3200"/>
      </w:tblGrid>
      <w:tr>
        <w:tc>
          <w:tcPr>
            <w:tcW w:type="dxa" w:w="6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Original Contract Price: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$3,168,660.00</w:t>
            </w:r>
          </w:p>
        </w:tc>
      </w:tr>
      <w:tr>
        <w:tc>
          <w:tcPr>
            <w:tcW w:type="dxa" w:w="6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This Change Order (CO-001):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$20,038.95</w:t>
            </w:r>
          </w:p>
        </w:tc>
      </w:tr>
      <w:tr>
        <w:tc>
          <w:tcPr>
            <w:tcW w:type="dxa" w:w="6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Revised Contract Price: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$3,188,698.95</w:t>
            </w:r>
          </w:p>
        </w:tc>
      </w:tr>
    </w:tbl>
    <w:p>
      <w:pPr>
        <w:spacing w:after="3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APPROVED BY: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OWNER: </w:t>
      </w:r>
      <w:r>
        <w:rPr>
          <w:rFonts w:ascii="Arial" w:cs="Arial" w:eastAsia="Arial" w:hAnsi="Arial"/>
          <w:sz w:val="22"/>
          <w:szCs w:val="22"/>
        </w:rPr>
        <w:t xml:space="preserve">ARJR Kanarraville Holdings, LLC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_________________________________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Signature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_________________________________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Date</w:t>
            </w:r>
          </w:p>
        </w:tc>
      </w:tr>
    </w:tbl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CONTRACTOR: </w:t>
      </w:r>
      <w:r>
        <w:rPr>
          <w:rFonts w:ascii="Arial" w:cs="Arial" w:eastAsia="Arial" w:hAnsi="Arial"/>
          <w:sz w:val="22"/>
          <w:szCs w:val="22"/>
        </w:rPr>
        <w:t xml:space="preserve">RAC Inc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_________________________________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Signature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_________________________________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Date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2026-02-06T21:21:20.076Z</dcterms:created>
  <dcterms:modified xsi:type="dcterms:W3CDTF">2026-02-06T21:21:20.077Z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