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REQUEST FOR PROPOSAL</w:t>
      </w:r>
    </w:p>
    <w:p>
      <w:pPr>
        <w:spacing w:after="400"/>
        <w:jc w:val="center"/>
      </w:pPr>
      <w:r>
        <w:t xml:space="preserve">Concrete Foundation &amp; Flatwork</w:t>
      </w:r>
    </w:p>
    <w:p>
      <w:pPr>
        <w:pStyle w:val="Heading2"/>
        <w:spacing w:before="400" w:after="200"/>
      </w:pPr>
      <w:r>
        <w:t xml:space="preserve">PROJECT INFORMATION</w:t>
      </w:r>
    </w:p>
    <w:p>
      <w:pPr>
        <w:spacing w:after="100"/>
      </w:pPr>
      <w:r>
        <w:t xml:space="preserve">Project: Rodriguez Residence - Oak Valley Estates Lot 5</w:t>
      </w:r>
    </w:p>
    <w:p>
      <w:pPr>
        <w:spacing w:after="100"/>
      </w:pPr>
      <w:r>
        <w:t xml:space="preserve">Location: Liberty Lane, Kanarraville, UT 84742</w:t>
      </w:r>
    </w:p>
    <w:p>
      <w:pPr>
        <w:spacing w:after="100"/>
      </w:pPr>
      <w:r>
        <w:t xml:space="preserve">Owner: ARJR Kanarraville Holdings, LLC</w:t>
      </w:r>
    </w:p>
    <w:p>
      <w:pPr>
        <w:spacing w:after="100"/>
      </w:pPr>
      <w:r>
        <w:t xml:space="preserve">General Contractor: RAC Inc</w:t>
      </w:r>
    </w:p>
    <w:p>
      <w:pPr>
        <w:spacing w:after="100"/>
      </w:pPr>
      <w:r>
        <w:t xml:space="preserve">Contact: Craig Engel, racinc19@gmail.com, (435) 229-7360</w:t>
      </w:r>
    </w:p>
    <w:p>
      <w:pPr>
        <w:spacing w:after="100"/>
      </w:pPr>
      <w:r>
        <w:t xml:space="preserve">RFP Issue Date: February 4, 2026</w:t>
      </w:r>
    </w:p>
    <w:p>
      <w:pPr>
        <w:spacing w:after="100"/>
      </w:pPr>
      <w:r>
        <w:t xml:space="preserve">Proposal Due Date: February 18, 2026</w:t>
      </w:r>
    </w:p>
    <w:p>
      <w:pPr>
        <w:spacing w:after="400"/>
      </w:pPr>
      <w:r>
        <w:t xml:space="preserve">Anticipated Start: March 2026</w:t>
      </w:r>
    </w:p>
    <w:p>
      <w:pPr>
        <w:pStyle w:val="Heading2"/>
        <w:spacing w:before="400" w:after="200"/>
      </w:pPr>
      <w:r>
        <w:t xml:space="preserve">SCOPE OF WORK</w:t>
      </w:r>
    </w:p>
    <w:p>
      <w:pPr>
        <w:spacing w:after="400"/>
      </w:pPr>
      <w:r>
        <w:t xml:space="preserve">Complete concrete foundation, suspended slab, and flatwork per structural plans Structural_Plan_set_2 (Sheets S1-S8). Includes all labor, materials, equipment, forming, reinforcing, pumping, and finishing. Site preparation by separate contractor (BlackstoneX LLC).</w:t>
      </w:r>
    </w:p>
    <w:p>
      <w:pPr>
        <w:pStyle w:val="Heading2"/>
        <w:spacing w:before="400" w:after="200"/>
      </w:pPr>
      <w:r>
        <w:t xml:space="preserve">FOUNDATION SCOPE - PER STRUCTURAL PLANS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000"/>
        <w:gridCol w:w="17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Quantity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Unit Price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FOOTINGS &amp; FOUNDATIONS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18x12 strip footing - exterior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402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30x12 strip footing - exterior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293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18x12 strip footing - interior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30x12 strip footing - interior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Spread footings - per plan schedule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30" stem wall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406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8" foundation wall x 13' 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8" foundation wall x 10' 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236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SLABS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Basement floor slab w/ #3 rebar @ 24" o.c.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2,181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floor slab w/ #3 rebar @ 24" o.c.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2,600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Suspended 8" slab over 20ga B-deck w/ #4 rebar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1,180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Garage stem walls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Garage slab w/ #3 rebar @ 24" o.c.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1,766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ADDITIONAL SCOPE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Concrete pumping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Anchor bolts for holddowns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400"/>
      </w:pPr>
    </w:p>
    <w:p>
      <w:pPr>
        <w:pStyle w:val="Heading2"/>
        <w:spacing w:before="400" w:after="200"/>
      </w:pPr>
      <w:r>
        <w:t xml:space="preserve">SPECIFICATIONS</w:t>
      </w:r>
    </w:p>
    <w:p>
      <w:pPr>
        <w:spacing w:after="50"/>
      </w:pPr>
      <w:r>
        <w:t xml:space="preserve">• All work per structural plans Structural_Plan_set_2 (Sheets S1-S8)</w:t>
      </w:r>
    </w:p>
    <w:p>
      <w:pPr>
        <w:spacing w:after="50"/>
      </w:pPr>
      <w:r>
        <w:t xml:space="preserve">• Concrete: 3,500 PSI minimum for footings/walls, 4,000 PSI for slabs</w:t>
      </w:r>
    </w:p>
    <w:p>
      <w:pPr>
        <w:spacing w:after="50"/>
      </w:pPr>
      <w:r>
        <w:t xml:space="preserve">• Rebar: ASTM A615 Grade 60, placed per structural details</w:t>
      </w:r>
    </w:p>
    <w:p>
      <w:pPr>
        <w:spacing w:after="50"/>
      </w:pPr>
      <w:r>
        <w:t xml:space="preserve">• Foundation waterproofing: Dampproofing or membrane per code</w:t>
      </w:r>
    </w:p>
    <w:p>
      <w:pPr>
        <w:spacing w:after="50"/>
      </w:pPr>
      <w:r>
        <w:t xml:space="preserve">• Perimeter drain: 4" perforated pipe in gravel with filter fabric</w:t>
      </w:r>
    </w:p>
    <w:p>
      <w:pPr>
        <w:spacing w:after="50"/>
      </w:pPr>
      <w:r>
        <w:t xml:space="preserve">• Finish: Trowel finish for interior slabs, broom finish for garage</w:t>
      </w:r>
    </w:p>
    <w:p>
      <w:pPr>
        <w:spacing w:after="400"/>
      </w:pPr>
      <w:r>
        <w:t xml:space="preserve">• Curing: 7 days minimum wet cure or approved curing compound</w:t>
      </w:r>
    </w:p>
    <w:p>
      <w:pPr>
        <w:pStyle w:val="Heading2"/>
        <w:spacing w:before="400" w:after="200"/>
      </w:pPr>
      <w:r>
        <w:t xml:space="preserve">EXCLUSIONS</w:t>
      </w:r>
    </w:p>
    <w:p>
      <w:pPr>
        <w:spacing w:after="50"/>
      </w:pPr>
      <w:r>
        <w:t xml:space="preserve">• Site excavation and preparation (by BlackstoneX LLC)</w:t>
      </w:r>
    </w:p>
    <w:p>
      <w:pPr>
        <w:spacing w:after="50"/>
      </w:pPr>
      <w:r>
        <w:t xml:space="preserve">• Foundation backfill (by BlackstoneX LLC)</w:t>
      </w:r>
    </w:p>
    <w:p>
      <w:pPr>
        <w:spacing w:after="50"/>
      </w:pPr>
      <w:r>
        <w:t xml:space="preserve">• 20ga B-deck for suspended slab (by others)</w:t>
      </w:r>
    </w:p>
    <w:p>
      <w:pPr>
        <w:spacing w:after="50"/>
      </w:pPr>
      <w:r>
        <w:t xml:space="preserve">• Building permits and inspection fees</w:t>
      </w:r>
    </w:p>
    <w:p>
      <w:pPr>
        <w:spacing w:after="400"/>
      </w:pPr>
      <w:r>
        <w:t xml:space="preserve">• Exterior flatwork (driveways, sidewalks - separate bid)</w:t>
      </w:r>
    </w:p>
    <w:p>
      <w:pPr>
        <w:pStyle w:val="Heading2"/>
        <w:spacing w:before="400" w:after="200"/>
      </w:pPr>
      <w:r>
        <w:t xml:space="preserve">REQUIRED SUBMITTALS</w:t>
      </w:r>
    </w:p>
    <w:p>
      <w:pPr>
        <w:spacing w:after="50"/>
      </w:pPr>
      <w:r>
        <w:t xml:space="preserve">• Itemized pricing per schedule above with unit costs</w:t>
      </w:r>
    </w:p>
    <w:p>
      <w:pPr>
        <w:spacing w:after="50"/>
      </w:pPr>
      <w:r>
        <w:t xml:space="preserve">• Payment terms and schedule</w:t>
      </w:r>
    </w:p>
    <w:p>
      <w:pPr>
        <w:spacing w:after="50"/>
      </w:pPr>
      <w:r>
        <w:t xml:space="preserve">• Project timeline with key milestones</w:t>
      </w:r>
    </w:p>
    <w:p>
      <w:pPr>
        <w:spacing w:after="50"/>
      </w:pPr>
      <w:r>
        <w:t xml:space="preserve">• Warranty terms (minimum 1 year workmanship)</w:t>
      </w:r>
    </w:p>
    <w:p>
      <w:pPr>
        <w:spacing w:after="50"/>
      </w:pPr>
      <w:r>
        <w:t xml:space="preserve">• Proof of insurance: $2M general liability, workers comp</w:t>
      </w:r>
    </w:p>
    <w:p>
      <w:pPr>
        <w:spacing w:after="400"/>
      </w:pPr>
      <w:r>
        <w:t xml:space="preserve">• Contractor license number</w:t>
      </w:r>
    </w:p>
    <w:p>
      <w:pPr>
        <w:pStyle w:val="Heading2"/>
        <w:spacing w:before="400" w:after="200"/>
      </w:pPr>
      <w:r>
        <w:t xml:space="preserve">SUBMISSION</w:t>
      </w:r>
    </w:p>
    <w:p>
      <w:pPr>
        <w:spacing w:after="100"/>
      </w:pPr>
      <w:r>
        <w:t xml:space="preserve">Submit proposals by February 18, 2026 to:</w:t>
      </w:r>
    </w:p>
    <w:p>
      <w:pPr>
        <w:spacing w:after="50"/>
      </w:pPr>
      <w:r>
        <w:t xml:space="preserve">Craig Engel</w:t>
      </w:r>
    </w:p>
    <w:p>
      <w:pPr>
        <w:spacing w:after="50"/>
      </w:pPr>
      <w:r>
        <w:t xml:space="preserve">RAC Inc</w:t>
      </w:r>
    </w:p>
    <w:p>
      <w:pPr>
        <w:spacing w:after="50"/>
      </w:pPr>
      <w:r>
        <w:t xml:space="preserve">racinc19@gmail.com</w:t>
      </w:r>
    </w:p>
    <w:p>
      <w:pPr>
        <w:spacing w:after="400"/>
      </w:pPr>
      <w:r>
        <w:t xml:space="preserve">(435) 229-7360</w:t>
      </w:r>
    </w:p>
    <w:p>
      <w:pPr>
        <w:spacing w:after="200"/>
      </w:pPr>
      <w:r>
        <w:t xml:space="preserve">Questions due by February 11, 2026. Site visit available upon request.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2026-02-04T17:16:47.953Z</dcterms:created>
  <dcterms:modified xsi:type="dcterms:W3CDTF">2026-02-04T17:16:47.954Z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