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SUBCONTRACTOR AGREEMENT</w:t>
      </w:r>
    </w:p>
    <w:p>
      <w:pPr>
        <w:jc w:val="center"/>
      </w:pPr>
      <w:r>
        <w:rPr>
          <w:b/>
          <w:sz w:val="28"/>
        </w:rPr>
        <w:t>CABINETRY – FURNISH &amp; INSTALL</w:t>
      </w:r>
    </w:p>
    <w:p/>
    <w:p>
      <w:r>
        <w:t>This Subcontractor Agreement ("Agreement") is entered into as of the _____ day of _______________, 2026 ("Effective Date"), by and between:</w:t>
      </w:r>
    </w:p>
    <w:p/>
    <w:p>
      <w:r>
        <w:rPr>
          <w:b/>
        </w:rPr>
        <w:t xml:space="preserve">Contractor: </w:t>
      </w:r>
      <w:r>
        <w:t>RAC Inc.</w:t>
      </w:r>
    </w:p>
    <w:p>
      <w:r>
        <w:t>1267 N 1390 W, St. George, Utah 84770</w:t>
      </w:r>
    </w:p>
    <w:p>
      <w:r>
        <w:t>License: UT 5972780-5501</w:t>
      </w:r>
    </w:p>
    <w:p>
      <w:r>
        <w:t>Contact: Craig Engel | (435) 229-7360 | racinc19@gmail.com</w:t>
      </w:r>
    </w:p>
    <w:p/>
    <w:p>
      <w:r>
        <w:rPr>
          <w:b/>
        </w:rPr>
        <w:t xml:space="preserve">Subcontractor: </w:t>
      </w:r>
      <w:r>
        <w:t>DeezCabnuts</w:t>
      </w:r>
    </w:p>
    <w:p>
      <w:r>
        <w:t>Contact: Cody | deezcabnuts@gmail.com</w:t>
      </w:r>
    </w:p>
    <w:p>
      <w:r>
        <w:t>Address: ________________________________________</w:t>
      </w:r>
    </w:p>
    <w:p>
      <w:r>
        <w:t>License: ________________________________________</w:t>
      </w:r>
    </w:p>
    <w:p/>
    <w:p>
      <w:r>
        <w:rPr>
          <w:b/>
        </w:rPr>
        <w:t xml:space="preserve">Project: </w:t>
      </w:r>
      <w:r>
        <w:t>Rodriguez Residence – Oak Valley Estates, Lot 5</w:t>
      </w:r>
    </w:p>
    <w:p>
      <w:r>
        <w:t>Approximately 1000 S Old Highway 91, Kanarraville, Utah 84742</w:t>
      </w:r>
    </w:p>
    <w:p>
      <w:r>
        <w:t>Owner: ARJR Kanarraville Holdings, LLC</w:t>
      </w:r>
    </w:p>
    <w:p/>
    <w:p>
      <w:pPr>
        <w:pStyle w:val="Heading1"/>
      </w:pPr>
      <w:r>
        <w:t>ARTICLE 1 – SCOPE OF WORK</w:t>
      </w:r>
    </w:p>
    <w:p>
      <w:r>
        <w:t>1.1  Subcontractor shall furnish all labor, materials, equipment, hardware, and supervision necessary to fabricate, deliver, and install all cabinetry described in the attached Schedule of Values (Exhibit A) and in accordance with the approved plans, shop drawings, and specifications.</w:t>
      </w:r>
    </w:p>
    <w:p>
      <w:r>
        <w:t>1.2  Scope includes but is not limited to:</w:t>
      </w:r>
    </w:p>
    <w:p>
      <w:pPr>
        <w:pStyle w:val="ListBullet"/>
      </w:pPr>
      <w:r>
        <w:t xml:space="preserve">   (a) Plywood box construction with dovetail drawer boxes</w:t>
      </w:r>
    </w:p>
    <w:p>
      <w:pPr>
        <w:pStyle w:val="ListBullet"/>
      </w:pPr>
      <w:r>
        <w:t xml:space="preserve">   (b) Soft-close hinges and drawer slides throughout</w:t>
      </w:r>
    </w:p>
    <w:p>
      <w:pPr>
        <w:pStyle w:val="ListBullet"/>
      </w:pPr>
      <w:r>
        <w:t xml:space="preserve">   (c) Paint-grade finish (color TBD by owner)</w:t>
      </w:r>
    </w:p>
    <w:p>
      <w:pPr>
        <w:pStyle w:val="ListBullet"/>
      </w:pPr>
      <w:r>
        <w:t xml:space="preserve">   (d) Hardware (pulls/knobs) provided and installed by Subcontractor</w:t>
      </w:r>
    </w:p>
    <w:p>
      <w:pPr>
        <w:pStyle w:val="ListBullet"/>
      </w:pPr>
      <w:r>
        <w:t xml:space="preserve">   (e) Appliance panels as specified</w:t>
      </w:r>
    </w:p>
    <w:p>
      <w:pPr>
        <w:pStyle w:val="ListBullet"/>
      </w:pPr>
      <w:r>
        <w:t xml:space="preserve">   (f) Complete shop drawings for approval prior to fabrication</w:t>
      </w:r>
    </w:p>
    <w:p>
      <w:r>
        <w:t>1.3  Work shall be performed in accordance with all applicable codes, regulations, and project plans. Subcontractor acknowledges receipt of said documents.</w:t>
      </w:r>
    </w:p>
    <w:p>
      <w:r>
        <w:t>1.4  Subcontractor shall coordinate its work with all other trades and keep the site clean and orderly throughout the duration of its work.</w:t>
      </w:r>
    </w:p>
    <w:p/>
    <w:p>
      <w:pPr>
        <w:pStyle w:val="Heading1"/>
      </w:pPr>
      <w:r>
        <w:t>ARTICLE 2 – CONTRACT PRICE</w:t>
      </w:r>
    </w:p>
    <w:p>
      <w:r>
        <w:t>2.1  The Contract Price for all work described herein shall be Eighty-Four Thousand Two Hundred Ninety Dollars and 60/100 ($84,290.60), comprised of the attached Schedule of Values (Exhibit A).</w:t>
      </w:r>
    </w:p>
    <w:p>
      <w:r>
        <w:t>2.2  The Contract Price is all-inclusive for the complete scope of work described in Article 1 and Exhibit A. No additional charges shall apply except as provided through written change orders per Article 6.</w:t>
      </w:r>
    </w:p>
    <w:p/>
    <w:p>
      <w:pPr>
        <w:pStyle w:val="Heading1"/>
      </w:pPr>
      <w:r>
        <w:t>ARTICLE 3 – PAYMENT</w:t>
      </w:r>
    </w:p>
    <w:p>
      <w:r>
        <w:t>3.1  A deposit of Thirty Percent (30%) of the Contract Price shall be due upon execution of this Agreement: $25,287.18.</w:t>
      </w:r>
    </w:p>
    <w:p>
      <w:r>
        <w:t>3.2  Final payment shall be due upon substantial completion of installation and Contractor acceptance, net fifteen (15) days from date of invoice.</w:t>
      </w:r>
    </w:p>
    <w:p>
      <w:r>
        <w:t>3.3  A finance charge of two percent (2%) per month shall apply to invoices more than thirty (30) days past due.</w:t>
      </w:r>
    </w:p>
    <w:p>
      <w:r>
        <w:t>3.4  Final payment is contingent upon Subcontractor providing: (a) a final unconditional lien waiver, (b) as-built documentation, and (c) warranty documentation.</w:t>
      </w:r>
    </w:p>
    <w:p/>
    <w:p>
      <w:pPr>
        <w:pStyle w:val="Heading1"/>
      </w:pPr>
      <w:r>
        <w:t>ARTICLE 4 – SCHEDULE</w:t>
      </w:r>
    </w:p>
    <w:p>
      <w:r>
        <w:t>4.1  Subcontractor shall commence fabrication upon approval of shop drawings and receipt of deposit. Subcontractor shall provide lead time estimate with bid.</w:t>
      </w:r>
    </w:p>
    <w:p>
      <w:r>
        <w:t>4.2  Subcontractor shall provide adequate manpower and equipment to maintain the project schedule. If Subcontractor falls behind schedule through no fault of Contractor, Subcontractor shall improve progress at no additional cost.</w:t>
      </w:r>
    </w:p>
    <w:p>
      <w:r>
        <w:t>4.3  Subcontractor shall notify Contractor in writing within forty-eight (48) hours of any condition that may cause delay.</w:t>
      </w:r>
    </w:p>
    <w:p/>
    <w:p>
      <w:pPr>
        <w:pStyle w:val="Heading1"/>
      </w:pPr>
      <w:r>
        <w:t>ARTICLE 5 – EXCLUSIONS</w:t>
      </w:r>
    </w:p>
    <w:p>
      <w:r>
        <w:t>5.1  The following items are specifically excluded from this Agreement:</w:t>
      </w:r>
    </w:p>
    <w:p>
      <w:pPr>
        <w:pStyle w:val="ListBullet"/>
      </w:pPr>
      <w:r>
        <w:t xml:space="preserve">   (a) Countertops (by separate contract)</w:t>
      </w:r>
    </w:p>
    <w:p>
      <w:pPr>
        <w:pStyle w:val="ListBullet"/>
      </w:pPr>
      <w:r>
        <w:t xml:space="preserve">   (b) Appliances</w:t>
      </w:r>
    </w:p>
    <w:p>
      <w:pPr>
        <w:pStyle w:val="ListBullet"/>
      </w:pPr>
      <w:r>
        <w:t xml:space="preserve">   (c) Plumbing and electrical connections</w:t>
      </w:r>
    </w:p>
    <w:p>
      <w:pPr>
        <w:pStyle w:val="ListBullet"/>
      </w:pPr>
      <w:r>
        <w:t xml:space="preserve">   (d) Backsplash tile</w:t>
      </w:r>
    </w:p>
    <w:p>
      <w:pPr>
        <w:pStyle w:val="ListBullet"/>
      </w:pPr>
      <w:r>
        <w:t xml:space="preserve">   (e) Painting or finishing beyond cabinet surfaces</w:t>
      </w:r>
    </w:p>
    <w:p/>
    <w:p>
      <w:pPr>
        <w:pStyle w:val="Heading1"/>
      </w:pPr>
      <w:r>
        <w:t>ARTICLE 6 – CHANGE ORDERS AND ADDITIONAL WORK</w:t>
      </w:r>
    </w:p>
    <w:p>
      <w:r>
        <w:t>6.1  No additional work shall be performed without a written change order signed by both parties. Change orders must be approved prior to commencement of additional work.</w:t>
      </w:r>
    </w:p>
    <w:p>
      <w:r>
        <w:t>6.2  Document Changes Noted (no price change):</w:t>
      </w:r>
    </w:p>
    <w:p>
      <w:pPr>
        <w:pStyle w:val="ListBullet"/>
      </w:pPr>
      <w:r>
        <w:t xml:space="preserve">   (a) Two (2) linen cabinets eliminated from scope</w:t>
      </w:r>
    </w:p>
    <w:p>
      <w:pPr>
        <w:pStyle w:val="ListBullet"/>
      </w:pPr>
      <w:r>
        <w:t xml:space="preserve">   (b) Powder room: double doors (not drawers) per revised design</w:t>
      </w:r>
    </w:p>
    <w:p>
      <w:pPr>
        <w:pStyle w:val="ListBullet"/>
      </w:pPr>
      <w:r>
        <w:t xml:space="preserve">   (c) Primary closet: to be designed as per approved plans</w:t>
      </w:r>
    </w:p>
    <w:p>
      <w:pPr>
        <w:pStyle w:val="ListBullet"/>
      </w:pPr>
      <w:r>
        <w:t xml:space="preserve">   (d) Laundry: upper corner cabinet to be added</w:t>
      </w:r>
    </w:p>
    <w:p>
      <w:pPr>
        <w:pStyle w:val="ListBullet"/>
      </w:pPr>
      <w:r>
        <w:t xml:space="preserve">   (e) Gun room: floating cabinet to be drawn and detailed</w:t>
      </w:r>
    </w:p>
    <w:p>
      <w:r>
        <w:t>6.3  Quantity adjustments or additional items beyond Exhibit A shall be priced via written change order.</w:t>
      </w:r>
    </w:p>
    <w:p/>
    <w:p>
      <w:pPr>
        <w:pStyle w:val="Heading1"/>
      </w:pPr>
      <w:r>
        <w:t>ARTICLE 7 – ASSUMPTIONS AND CONDITIONS</w:t>
      </w:r>
    </w:p>
    <w:p>
      <w:r>
        <w:t>7.1  Pricing assumes normal site access and standard installation conditions.</w:t>
      </w:r>
    </w:p>
    <w:p>
      <w:r>
        <w:t>7.2  Schedule delays beyond Subcontractor's control (weather, inspections, owner/GC delays) may result in additional charges with prior written notice and documentation.</w:t>
      </w:r>
    </w:p>
    <w:p/>
    <w:p>
      <w:pPr>
        <w:pStyle w:val="Heading1"/>
      </w:pPr>
      <w:r>
        <w:t>ARTICLE 8 – INSURANCE AND INDEMNIFICATION</w:t>
      </w:r>
    </w:p>
    <w:p>
      <w:r>
        <w:t>8.1  Subcontractor shall maintain at its own expense throughout the duration of work:</w:t>
      </w:r>
    </w:p>
    <w:p>
      <w:pPr>
        <w:pStyle w:val="ListBullet"/>
      </w:pPr>
      <w:r>
        <w:t xml:space="preserve">   Commercial General Liability: $1,000,000 per occurrence / $2,000,000 aggregate</w:t>
      </w:r>
    </w:p>
    <w:p>
      <w:pPr>
        <w:pStyle w:val="ListBullet"/>
      </w:pPr>
      <w:r>
        <w:t xml:space="preserve">   Automobile Liability: $1,000,000 combined single limit</w:t>
      </w:r>
    </w:p>
    <w:p>
      <w:pPr>
        <w:pStyle w:val="ListBullet"/>
      </w:pPr>
      <w:r>
        <w:t xml:space="preserve">   Workers' Compensation: Statutory limits per the State of Utah</w:t>
      </w:r>
    </w:p>
    <w:p>
      <w:r>
        <w:t>8.2  Subcontractor shall name RAC Inc. and ARJR Kanarraville Holdings, LLC as additional insureds. Certificates of insurance shall be provided prior to commencing work.</w:t>
      </w:r>
    </w:p>
    <w:p>
      <w:r>
        <w:t>8.3  Subcontractor shall indemnify, defend, and hold harmless Contractor and Owner from all claims arising from Subcontractor's work, except to the extent caused by Contractor or Owner negligence.</w:t>
      </w:r>
    </w:p>
    <w:p/>
    <w:p>
      <w:pPr>
        <w:pStyle w:val="Heading1"/>
      </w:pPr>
      <w:r>
        <w:t>ARTICLE 9 – WARRANTY</w:t>
      </w:r>
    </w:p>
    <w:p>
      <w:r>
        <w:t>9.1  Subcontractor warrants all work shall be free from defects in materials and workmanship for one (1) year from Contractor's acceptance of the completed work.</w:t>
      </w:r>
    </w:p>
    <w:p>
      <w:r>
        <w:t>9.2  Subcontractor shall remedy defective work at its expense within fourteen (14) days of written notice. Failure to do so entitles Contractor to correct the work and charge Subcontractor.</w:t>
      </w:r>
    </w:p>
    <w:p/>
    <w:p>
      <w:pPr>
        <w:pStyle w:val="Heading1"/>
      </w:pPr>
      <w:r>
        <w:t>ARTICLE 10 – SAFETY AND COMPLIANCE</w:t>
      </w:r>
    </w:p>
    <w:p>
      <w:r>
        <w:t>10.1  Subcontractor shall comply with all applicable laws and OSHA requirements. Subcontractor is solely responsible for safety of its employees.</w:t>
      </w:r>
    </w:p>
    <w:p>
      <w:r>
        <w:t>10.2  Subcontractor shall maintain the site free from hazards and coordinate with other trades to minimize interference.</w:t>
      </w:r>
    </w:p>
    <w:p/>
    <w:p>
      <w:pPr>
        <w:pStyle w:val="Heading1"/>
      </w:pPr>
      <w:r>
        <w:t>ARTICLE 11 – LIENS AND LIEN WAIVERS</w:t>
      </w:r>
    </w:p>
    <w:p>
      <w:r>
        <w:t>11.1  Subcontractor shall deliver conditional lien waivers with each pay application and unconditional waivers upon receipt of payment.</w:t>
      </w:r>
    </w:p>
    <w:p>
      <w:r>
        <w:t>11.2  Utah Lien Notice: Subcontractor is a supplier or subcontractor providing materials or labor under agreement with Contractor. Utah law may allow Subcontractor to file a lien against the property for unpaid work.</w:t>
      </w:r>
    </w:p>
    <w:p/>
    <w:p>
      <w:pPr>
        <w:pStyle w:val="Heading1"/>
      </w:pPr>
      <w:r>
        <w:t>ARTICLE 12 – TERMINATION</w:t>
      </w:r>
    </w:p>
    <w:p>
      <w:r>
        <w:t>12.1  Contractor may terminate for cause with seven (7) days written notice and opportunity to cure if Subcontractor: (a) fails to perform timely, (b) violates laws, (c) becomes insolvent, or (d) materially breaches this Agreement.</w:t>
      </w:r>
    </w:p>
    <w:p>
      <w:r>
        <w:t>12.2  Contractor may terminate for convenience with fourteen (14) days notice. Subcontractor shall be paid for work completed plus reasonable demobilization costs.</w:t>
      </w:r>
    </w:p>
    <w:p/>
    <w:p>
      <w:pPr>
        <w:pStyle w:val="Heading1"/>
      </w:pPr>
      <w:r>
        <w:t>ARTICLE 13 – FORCE MAJEURE</w:t>
      </w:r>
    </w:p>
    <w:p>
      <w:r>
        <w:t>13.1  Neither party shall be liable for delays caused by circumstances beyond reasonable control, including natural disasters, pandemics, civil unrest, government actions, tariffs, material shortages, and long lead times. Prompt written notice required.</w:t>
      </w:r>
    </w:p>
    <w:p/>
    <w:p>
      <w:pPr>
        <w:pStyle w:val="Heading1"/>
      </w:pPr>
      <w:r>
        <w:t>ARTICLE 14 – DISPUTE RESOLUTION</w:t>
      </w:r>
    </w:p>
    <w:p>
      <w:r>
        <w:t>14.1  Disputes shall first be submitted to good-faith negotiation. If unresolved within thirty (30) days, mediation in Washington County, Utah.</w:t>
      </w:r>
    </w:p>
    <w:p>
      <w:r>
        <w:t>14.2  Governed by Utah law. Prevailing party entitled to reasonable attorney's fees and costs.</w:t>
      </w:r>
    </w:p>
    <w:p/>
    <w:p>
      <w:pPr>
        <w:pStyle w:val="Heading1"/>
      </w:pPr>
      <w:r>
        <w:t>ARTICLE 15 – TAXES</w:t>
      </w:r>
    </w:p>
    <w:p>
      <w:r>
        <w:t>15.1  All pricing excludes sales tax. Applicable taxes shall be added to invoices as required by law.</w:t>
      </w:r>
    </w:p>
    <w:p/>
    <w:p/>
    <w:p>
      <w:r>
        <w:t>IN WITNESS WHEREOF, the parties have executed this Agreement as of the Effective Date.</w:t>
      </w:r>
    </w:p>
    <w:p/>
    <w:tbl>
      <w:tblPr>
        <w:tblW w:type="auto" w:w="0"/>
        <w:tblLook w:firstColumn="1" w:firstRow="1" w:lastColumn="0" w:lastRow="0" w:noHBand="0" w:noVBand="1" w:val="04A0"/>
      </w:tblPr>
      <w:tblGrid>
        <w:gridCol w:w="4320"/>
        <w:gridCol w:w="4320"/>
      </w:tblGrid>
      <w:tr>
        <w:tc>
          <w:tcPr>
            <w:tcW w:type="dxa" w:w="4320"/>
          </w:tcPr>
          <w:p>
            <w:r>
              <w:t>CONTRACTOR:</w:t>
            </w:r>
          </w:p>
        </w:tc>
        <w:tc>
          <w:tcPr>
            <w:tcW w:type="dxa" w:w="4320"/>
          </w:tcPr>
          <w:p>
            <w:r>
              <w:t>SUBCONTRACTOR:</w:t>
            </w:r>
          </w:p>
        </w:tc>
      </w:tr>
      <w:tr>
        <w:tc>
          <w:tcPr>
            <w:tcW w:type="dxa" w:w="4320"/>
          </w:tcPr>
          <w:p>
            <w:r>
              <w:t>RAC Inc.</w:t>
              <w:br/>
              <w:br/>
              <w:t>By: _________________________</w:t>
              <w:br/>
              <w:t>Name: Craig Engel</w:t>
              <w:br/>
              <w:t>Title: President</w:t>
              <w:br/>
              <w:t>Date: _______________</w:t>
            </w:r>
          </w:p>
        </w:tc>
        <w:tc>
          <w:tcPr>
            <w:tcW w:type="dxa" w:w="4320"/>
          </w:tcPr>
          <w:p>
            <w:r>
              <w:t>DeezCabnuts</w:t>
              <w:br/>
              <w:br/>
              <w:t>By: _________________________</w:t>
              <w:br/>
              <w:t>Name: Cody</w:t>
              <w:br/>
              <w:t>Title: ____________________</w:t>
              <w:br/>
              <w:t>Date: _______________</w:t>
            </w:r>
          </w:p>
        </w:tc>
      </w:tr>
    </w:tbl>
    <w:p>
      <w:r>
        <w:br w:type="page"/>
      </w:r>
    </w:p>
    <w:p>
      <w:pPr>
        <w:pStyle w:val="Heading1"/>
      </w:pPr>
      <w:r>
        <w:t>EXHIBIT A – SCHEDULE OF VALUES</w:t>
      </w:r>
    </w:p>
    <w:p>
      <w:r>
        <w:t>Cabinetry – Rodriguez Residence – Oak Valley Estates, Lot 5</w:t>
      </w:r>
    </w:p>
    <w:p>
      <w:r>
        <w:t>DeezCabnuts Estimate dated April 8, 2026</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Item #</w:t>
            </w:r>
          </w:p>
        </w:tc>
        <w:tc>
          <w:tcPr>
            <w:tcW w:type="dxa" w:w="2160"/>
          </w:tcPr>
          <w:p>
            <w:r>
              <w:t>Description</w:t>
            </w:r>
          </w:p>
        </w:tc>
        <w:tc>
          <w:tcPr>
            <w:tcW w:type="dxa" w:w="2160"/>
          </w:tcPr>
          <w:p>
            <w:r>
              <w:t>Room/Area</w:t>
            </w:r>
          </w:p>
        </w:tc>
        <w:tc>
          <w:tcPr>
            <w:tcW w:type="dxa" w:w="2160"/>
          </w:tcPr>
          <w:p>
            <w:r>
              <w:t>Amount</w:t>
            </w:r>
          </w:p>
        </w:tc>
      </w:tr>
      <w:tr>
        <w:tc>
          <w:tcPr>
            <w:tcW w:type="dxa" w:w="2160"/>
          </w:tcPr>
          <w:p>
            <w:r>
              <w:t>1</w:t>
            </w:r>
          </w:p>
        </w:tc>
        <w:tc>
          <w:tcPr>
            <w:tcW w:type="dxa" w:w="2160"/>
          </w:tcPr>
          <w:p>
            <w:r>
              <w:t>Base &amp; wall cabinets, pull-out shelving</w:t>
            </w:r>
          </w:p>
        </w:tc>
        <w:tc>
          <w:tcPr>
            <w:tcW w:type="dxa" w:w="2160"/>
          </w:tcPr>
          <w:p>
            <w:r>
              <w:t>Pantry</w:t>
            </w:r>
          </w:p>
        </w:tc>
        <w:tc>
          <w:tcPr>
            <w:tcW w:type="dxa" w:w="2160"/>
          </w:tcPr>
          <w:p>
            <w:r>
              <w:t>$6,983.80</w:t>
            </w:r>
          </w:p>
        </w:tc>
      </w:tr>
      <w:tr>
        <w:tc>
          <w:tcPr>
            <w:tcW w:type="dxa" w:w="2160"/>
          </w:tcPr>
          <w:p>
            <w:r>
              <w:t>2</w:t>
            </w:r>
          </w:p>
        </w:tc>
        <w:tc>
          <w:tcPr>
            <w:tcW w:type="dxa" w:w="2160"/>
          </w:tcPr>
          <w:p>
            <w:r>
              <w:t>Base &amp; wall cabinets, appliance panels</w:t>
            </w:r>
          </w:p>
        </w:tc>
        <w:tc>
          <w:tcPr>
            <w:tcW w:type="dxa" w:w="2160"/>
          </w:tcPr>
          <w:p>
            <w:r>
              <w:t>Kitchen 1</w:t>
            </w:r>
          </w:p>
        </w:tc>
        <w:tc>
          <w:tcPr>
            <w:tcW w:type="dxa" w:w="2160"/>
          </w:tcPr>
          <w:p>
            <w:r>
              <w:t>$5,588.22</w:t>
            </w:r>
          </w:p>
        </w:tc>
      </w:tr>
      <w:tr>
        <w:tc>
          <w:tcPr>
            <w:tcW w:type="dxa" w:w="2160"/>
          </w:tcPr>
          <w:p>
            <w:r>
              <w:t>3</w:t>
            </w:r>
          </w:p>
        </w:tc>
        <w:tc>
          <w:tcPr>
            <w:tcW w:type="dxa" w:w="2160"/>
          </w:tcPr>
          <w:p>
            <w:r>
              <w:t>Base &amp; wall cabinets</w:t>
            </w:r>
          </w:p>
        </w:tc>
        <w:tc>
          <w:tcPr>
            <w:tcW w:type="dxa" w:w="2160"/>
          </w:tcPr>
          <w:p>
            <w:r>
              <w:t>Kitchen 2</w:t>
            </w:r>
          </w:p>
        </w:tc>
        <w:tc>
          <w:tcPr>
            <w:tcW w:type="dxa" w:w="2160"/>
          </w:tcPr>
          <w:p>
            <w:r>
              <w:t>$3,713.97</w:t>
            </w:r>
          </w:p>
        </w:tc>
      </w:tr>
      <w:tr>
        <w:tc>
          <w:tcPr>
            <w:tcW w:type="dxa" w:w="2160"/>
          </w:tcPr>
          <w:p>
            <w:r>
              <w:t>4</w:t>
            </w:r>
          </w:p>
        </w:tc>
        <w:tc>
          <w:tcPr>
            <w:tcW w:type="dxa" w:w="2160"/>
          </w:tcPr>
          <w:p>
            <w:r>
              <w:t>Island cabinetry, waterfall end panels</w:t>
            </w:r>
          </w:p>
        </w:tc>
        <w:tc>
          <w:tcPr>
            <w:tcW w:type="dxa" w:w="2160"/>
          </w:tcPr>
          <w:p>
            <w:r>
              <w:t>Kitchen Island</w:t>
            </w:r>
          </w:p>
        </w:tc>
        <w:tc>
          <w:tcPr>
            <w:tcW w:type="dxa" w:w="2160"/>
          </w:tcPr>
          <w:p>
            <w:r>
              <w:t>$3,374.61</w:t>
            </w:r>
          </w:p>
        </w:tc>
      </w:tr>
      <w:tr>
        <w:tc>
          <w:tcPr>
            <w:tcW w:type="dxa" w:w="2160"/>
          </w:tcPr>
          <w:p>
            <w:r>
              <w:t>5</w:t>
            </w:r>
          </w:p>
        </w:tc>
        <w:tc>
          <w:tcPr>
            <w:tcW w:type="dxa" w:w="2160"/>
          </w:tcPr>
          <w:p>
            <w:r>
              <w:t>Single vanity (37")</w:t>
            </w:r>
          </w:p>
        </w:tc>
        <w:tc>
          <w:tcPr>
            <w:tcW w:type="dxa" w:w="2160"/>
          </w:tcPr>
          <w:p>
            <w:r>
              <w:t>Office Bath</w:t>
            </w:r>
          </w:p>
        </w:tc>
        <w:tc>
          <w:tcPr>
            <w:tcW w:type="dxa" w:w="2160"/>
          </w:tcPr>
          <w:p>
            <w:r>
              <w:t>$1,809.28</w:t>
            </w:r>
          </w:p>
        </w:tc>
      </w:tr>
      <w:tr>
        <w:tc>
          <w:tcPr>
            <w:tcW w:type="dxa" w:w="2160"/>
          </w:tcPr>
          <w:p>
            <w:r>
              <w:t>6</w:t>
            </w:r>
          </w:p>
        </w:tc>
        <w:tc>
          <w:tcPr>
            <w:tcW w:type="dxa" w:w="2160"/>
          </w:tcPr>
          <w:p>
            <w:r>
              <w:t>Single vanity – DOUBLE DOORS NOT DRAWERS per rev. note</w:t>
            </w:r>
          </w:p>
        </w:tc>
        <w:tc>
          <w:tcPr>
            <w:tcW w:type="dxa" w:w="2160"/>
          </w:tcPr>
          <w:p>
            <w:r>
              <w:t>Powder Room</w:t>
            </w:r>
          </w:p>
        </w:tc>
        <w:tc>
          <w:tcPr>
            <w:tcW w:type="dxa" w:w="2160"/>
          </w:tcPr>
          <w:p>
            <w:r>
              <w:t>$637.10</w:t>
            </w:r>
          </w:p>
        </w:tc>
      </w:tr>
      <w:tr>
        <w:tc>
          <w:tcPr>
            <w:tcW w:type="dxa" w:w="2160"/>
          </w:tcPr>
          <w:p>
            <w:r>
              <w:t>7</w:t>
            </w:r>
          </w:p>
        </w:tc>
        <w:tc>
          <w:tcPr>
            <w:tcW w:type="dxa" w:w="2160"/>
          </w:tcPr>
          <w:p>
            <w:r>
              <w:t>Built-in closet system</w:t>
            </w:r>
          </w:p>
        </w:tc>
        <w:tc>
          <w:tcPr>
            <w:tcW w:type="dxa" w:w="2160"/>
          </w:tcPr>
          <w:p>
            <w:r>
              <w:t>Primary Closet North</w:t>
            </w:r>
          </w:p>
        </w:tc>
        <w:tc>
          <w:tcPr>
            <w:tcW w:type="dxa" w:w="2160"/>
          </w:tcPr>
          <w:p>
            <w:r>
              <w:t>$3,593.74</w:t>
            </w:r>
          </w:p>
        </w:tc>
      </w:tr>
      <w:tr>
        <w:tc>
          <w:tcPr>
            <w:tcW w:type="dxa" w:w="2160"/>
          </w:tcPr>
          <w:p>
            <w:r>
              <w:t>8</w:t>
            </w:r>
          </w:p>
        </w:tc>
        <w:tc>
          <w:tcPr>
            <w:tcW w:type="dxa" w:w="2160"/>
          </w:tcPr>
          <w:p>
            <w:r>
              <w:t>Built-in closet system</w:t>
            </w:r>
          </w:p>
        </w:tc>
        <w:tc>
          <w:tcPr>
            <w:tcW w:type="dxa" w:w="2160"/>
          </w:tcPr>
          <w:p>
            <w:r>
              <w:t>Primary Closet South</w:t>
            </w:r>
          </w:p>
        </w:tc>
        <w:tc>
          <w:tcPr>
            <w:tcW w:type="dxa" w:w="2160"/>
          </w:tcPr>
          <w:p>
            <w:r>
              <w:t>$3,593.74</w:t>
            </w:r>
          </w:p>
        </w:tc>
      </w:tr>
      <w:tr>
        <w:tc>
          <w:tcPr>
            <w:tcW w:type="dxa" w:w="2160"/>
          </w:tcPr>
          <w:p>
            <w:r>
              <w:t>9</w:t>
            </w:r>
          </w:p>
        </w:tc>
        <w:tc>
          <w:tcPr>
            <w:tcW w:type="dxa" w:w="2160"/>
          </w:tcPr>
          <w:p>
            <w:r>
              <w:t>Upper cabinets</w:t>
            </w:r>
          </w:p>
        </w:tc>
        <w:tc>
          <w:tcPr>
            <w:tcW w:type="dxa" w:w="2160"/>
          </w:tcPr>
          <w:p>
            <w:r>
              <w:t>Upper East</w:t>
            </w:r>
          </w:p>
        </w:tc>
        <w:tc>
          <w:tcPr>
            <w:tcW w:type="dxa" w:w="2160"/>
          </w:tcPr>
          <w:p>
            <w:r>
              <w:t>$2,078.06</w:t>
            </w:r>
          </w:p>
        </w:tc>
      </w:tr>
      <w:tr>
        <w:tc>
          <w:tcPr>
            <w:tcW w:type="dxa" w:w="2160"/>
          </w:tcPr>
          <w:p>
            <w:r>
              <w:t>10</w:t>
            </w:r>
          </w:p>
        </w:tc>
        <w:tc>
          <w:tcPr>
            <w:tcW w:type="dxa" w:w="2160"/>
          </w:tcPr>
          <w:p>
            <w:r>
              <w:t>Upper &amp; base cabinets, upper corner per rev. note</w:t>
            </w:r>
          </w:p>
        </w:tc>
        <w:tc>
          <w:tcPr>
            <w:tcW w:type="dxa" w:w="2160"/>
          </w:tcPr>
          <w:p>
            <w:r>
              <w:t>Laundry South</w:t>
            </w:r>
          </w:p>
        </w:tc>
        <w:tc>
          <w:tcPr>
            <w:tcW w:type="dxa" w:w="2160"/>
          </w:tcPr>
          <w:p>
            <w:r>
              <w:t>$2,576.34</w:t>
            </w:r>
          </w:p>
        </w:tc>
      </w:tr>
      <w:tr>
        <w:tc>
          <w:tcPr>
            <w:tcW w:type="dxa" w:w="2160"/>
          </w:tcPr>
          <w:p>
            <w:r>
              <w:t>11</w:t>
            </w:r>
          </w:p>
        </w:tc>
        <w:tc>
          <w:tcPr>
            <w:tcW w:type="dxa" w:w="2160"/>
          </w:tcPr>
          <w:p>
            <w:r>
              <w:t>Upper cabinets</w:t>
            </w:r>
          </w:p>
        </w:tc>
        <w:tc>
          <w:tcPr>
            <w:tcW w:type="dxa" w:w="2160"/>
          </w:tcPr>
          <w:p>
            <w:r>
              <w:t>Upper West</w:t>
            </w:r>
          </w:p>
        </w:tc>
        <w:tc>
          <w:tcPr>
            <w:tcW w:type="dxa" w:w="2160"/>
          </w:tcPr>
          <w:p>
            <w:r>
              <w:t>$4,240.85</w:t>
            </w:r>
          </w:p>
        </w:tc>
      </w:tr>
      <w:tr>
        <w:tc>
          <w:tcPr>
            <w:tcW w:type="dxa" w:w="2160"/>
          </w:tcPr>
          <w:p>
            <w:r>
              <w:t>12</w:t>
            </w:r>
          </w:p>
        </w:tc>
        <w:tc>
          <w:tcPr>
            <w:tcW w:type="dxa" w:w="2160"/>
          </w:tcPr>
          <w:p>
            <w:r>
              <w:t>Vanity cabinet</w:t>
            </w:r>
          </w:p>
        </w:tc>
        <w:tc>
          <w:tcPr>
            <w:tcW w:type="dxa" w:w="2160"/>
          </w:tcPr>
          <w:p>
            <w:r>
              <w:t>Upper West Bathroom</w:t>
            </w:r>
          </w:p>
        </w:tc>
        <w:tc>
          <w:tcPr>
            <w:tcW w:type="dxa" w:w="2160"/>
          </w:tcPr>
          <w:p>
            <w:r>
              <w:t>$1,935.90</w:t>
            </w:r>
          </w:p>
        </w:tc>
      </w:tr>
      <w:tr>
        <w:tc>
          <w:tcPr>
            <w:tcW w:type="dxa" w:w="2160"/>
          </w:tcPr>
          <w:p>
            <w:r>
              <w:t>13</w:t>
            </w:r>
          </w:p>
        </w:tc>
        <w:tc>
          <w:tcPr>
            <w:tcW w:type="dxa" w:w="2160"/>
          </w:tcPr>
          <w:p>
            <w:r>
              <w:t>Base &amp; wall cabinets</w:t>
            </w:r>
          </w:p>
        </w:tc>
        <w:tc>
          <w:tcPr>
            <w:tcW w:type="dxa" w:w="2160"/>
          </w:tcPr>
          <w:p>
            <w:r>
              <w:t>ADU 2</w:t>
            </w:r>
          </w:p>
        </w:tc>
        <w:tc>
          <w:tcPr>
            <w:tcW w:type="dxa" w:w="2160"/>
          </w:tcPr>
          <w:p>
            <w:r>
              <w:t>$1,238.49</w:t>
            </w:r>
          </w:p>
        </w:tc>
      </w:tr>
      <w:tr>
        <w:tc>
          <w:tcPr>
            <w:tcW w:type="dxa" w:w="2160"/>
          </w:tcPr>
          <w:p>
            <w:r>
              <w:t>14</w:t>
            </w:r>
          </w:p>
        </w:tc>
        <w:tc>
          <w:tcPr>
            <w:tcW w:type="dxa" w:w="2160"/>
          </w:tcPr>
          <w:p>
            <w:r>
              <w:t>Base &amp; wall cabinets</w:t>
            </w:r>
          </w:p>
        </w:tc>
        <w:tc>
          <w:tcPr>
            <w:tcW w:type="dxa" w:w="2160"/>
          </w:tcPr>
          <w:p>
            <w:r>
              <w:t>ADU 1</w:t>
            </w:r>
          </w:p>
        </w:tc>
        <w:tc>
          <w:tcPr>
            <w:tcW w:type="dxa" w:w="2160"/>
          </w:tcPr>
          <w:p>
            <w:r>
              <w:t>$1,088.83</w:t>
            </w:r>
          </w:p>
        </w:tc>
      </w:tr>
      <w:tr>
        <w:tc>
          <w:tcPr>
            <w:tcW w:type="dxa" w:w="2160"/>
          </w:tcPr>
          <w:p>
            <w:r>
              <w:t>15</w:t>
            </w:r>
          </w:p>
        </w:tc>
        <w:tc>
          <w:tcPr>
            <w:tcW w:type="dxa" w:w="2160"/>
          </w:tcPr>
          <w:p>
            <w:r>
              <w:t>Island cabinetry</w:t>
            </w:r>
          </w:p>
        </w:tc>
        <w:tc>
          <w:tcPr>
            <w:tcW w:type="dxa" w:w="2160"/>
          </w:tcPr>
          <w:p>
            <w:r>
              <w:t>ADU Island</w:t>
            </w:r>
          </w:p>
        </w:tc>
        <w:tc>
          <w:tcPr>
            <w:tcW w:type="dxa" w:w="2160"/>
          </w:tcPr>
          <w:p>
            <w:r>
              <w:t>$1,774.07</w:t>
            </w:r>
          </w:p>
        </w:tc>
      </w:tr>
      <w:tr>
        <w:tc>
          <w:tcPr>
            <w:tcW w:type="dxa" w:w="2160"/>
          </w:tcPr>
          <w:p>
            <w:r>
              <w:t>16</w:t>
            </w:r>
          </w:p>
        </w:tc>
        <w:tc>
          <w:tcPr>
            <w:tcW w:type="dxa" w:w="2160"/>
          </w:tcPr>
          <w:p>
            <w:r>
              <w:t>Lower cabinet</w:t>
            </w:r>
          </w:p>
        </w:tc>
        <w:tc>
          <w:tcPr>
            <w:tcW w:type="dxa" w:w="2160"/>
          </w:tcPr>
          <w:p>
            <w:r>
              <w:t>Cab Lower 1</w:t>
            </w:r>
          </w:p>
        </w:tc>
        <w:tc>
          <w:tcPr>
            <w:tcW w:type="dxa" w:w="2160"/>
          </w:tcPr>
          <w:p>
            <w:r>
              <w:t>$968.81</w:t>
            </w:r>
          </w:p>
        </w:tc>
      </w:tr>
      <w:tr>
        <w:tc>
          <w:tcPr>
            <w:tcW w:type="dxa" w:w="2160"/>
          </w:tcPr>
          <w:p>
            <w:r>
              <w:t>17</w:t>
            </w:r>
          </w:p>
        </w:tc>
        <w:tc>
          <w:tcPr>
            <w:tcW w:type="dxa" w:w="2160"/>
          </w:tcPr>
          <w:p>
            <w:r>
              <w:t>Vanity cabinet</w:t>
            </w:r>
          </w:p>
        </w:tc>
        <w:tc>
          <w:tcPr>
            <w:tcW w:type="dxa" w:w="2160"/>
          </w:tcPr>
          <w:p>
            <w:r>
              <w:t>ADU Bathroom</w:t>
            </w:r>
          </w:p>
        </w:tc>
        <w:tc>
          <w:tcPr>
            <w:tcW w:type="dxa" w:w="2160"/>
          </w:tcPr>
          <w:p>
            <w:r>
              <w:t>$1,740.87</w:t>
            </w:r>
          </w:p>
        </w:tc>
      </w:tr>
      <w:tr>
        <w:tc>
          <w:tcPr>
            <w:tcW w:type="dxa" w:w="2160"/>
          </w:tcPr>
          <w:p>
            <w:r>
              <w:t>18</w:t>
            </w:r>
          </w:p>
        </w:tc>
        <w:tc>
          <w:tcPr>
            <w:tcW w:type="dxa" w:w="2160"/>
          </w:tcPr>
          <w:p>
            <w:r>
              <w:t>Linen cabinet – ELIMINATED per rev. note</w:t>
            </w:r>
          </w:p>
        </w:tc>
        <w:tc>
          <w:tcPr>
            <w:tcW w:type="dxa" w:w="2160"/>
          </w:tcPr>
          <w:p>
            <w:r>
              <w:t>The Linen</w:t>
            </w:r>
          </w:p>
        </w:tc>
        <w:tc>
          <w:tcPr>
            <w:tcW w:type="dxa" w:w="2160"/>
          </w:tcPr>
          <w:p>
            <w:r>
              <w:t>$0.00</w:t>
            </w:r>
          </w:p>
        </w:tc>
      </w:tr>
      <w:tr>
        <w:tc>
          <w:tcPr>
            <w:tcW w:type="dxa" w:w="2160"/>
          </w:tcPr>
          <w:p>
            <w:r>
              <w:t>19</w:t>
            </w:r>
          </w:p>
        </w:tc>
        <w:tc>
          <w:tcPr>
            <w:tcW w:type="dxa" w:w="2160"/>
          </w:tcPr>
          <w:p>
            <w:r>
              <w:t>Floating cabinet – TO BE DRAWN per rev. note</w:t>
            </w:r>
          </w:p>
        </w:tc>
        <w:tc>
          <w:tcPr>
            <w:tcW w:type="dxa" w:w="2160"/>
          </w:tcPr>
          <w:p>
            <w:r>
              <w:t>Gun Room</w:t>
            </w:r>
          </w:p>
        </w:tc>
        <w:tc>
          <w:tcPr>
            <w:tcW w:type="dxa" w:w="2160"/>
          </w:tcPr>
          <w:p>
            <w:r>
              <w:t>$0.00</w:t>
            </w:r>
          </w:p>
        </w:tc>
      </w:tr>
      <w:tr>
        <w:tc>
          <w:tcPr>
            <w:tcW w:type="dxa" w:w="2160"/>
          </w:tcPr>
          <w:p>
            <w:r>
              <w:t>20</w:t>
            </w:r>
          </w:p>
        </w:tc>
        <w:tc>
          <w:tcPr>
            <w:tcW w:type="dxa" w:w="2160"/>
          </w:tcPr>
          <w:p>
            <w:r>
              <w:t>Master Bathroom</w:t>
            </w:r>
          </w:p>
        </w:tc>
        <w:tc>
          <w:tcPr>
            <w:tcW w:type="dxa" w:w="2160"/>
          </w:tcPr>
          <w:p>
            <w:r>
              <w:t>TBD per plans</w:t>
            </w:r>
          </w:p>
        </w:tc>
        <w:tc>
          <w:tcPr>
            <w:tcW w:type="dxa" w:w="2160"/>
          </w:tcPr>
          <w:p>
            <w:r>
              <w:t>$0.00</w:t>
            </w:r>
          </w:p>
        </w:tc>
      </w:tr>
      <w:tr>
        <w:tc>
          <w:tcPr>
            <w:tcW w:type="dxa" w:w="2160"/>
          </w:tcPr>
          <w:p>
            <w:r>
              <w:t>21</w:t>
            </w:r>
          </w:p>
        </w:tc>
        <w:tc>
          <w:tcPr>
            <w:tcW w:type="dxa" w:w="2160"/>
          </w:tcPr>
          <w:p>
            <w:r>
              <w:t>Main Level Bathroom</w:t>
            </w:r>
          </w:p>
        </w:tc>
        <w:tc>
          <w:tcPr>
            <w:tcW w:type="dxa" w:w="2160"/>
          </w:tcPr>
          <w:p>
            <w:r>
              <w:t>TBD per plans</w:t>
            </w:r>
          </w:p>
        </w:tc>
        <w:tc>
          <w:tcPr>
            <w:tcW w:type="dxa" w:w="2160"/>
          </w:tcPr>
          <w:p>
            <w:r>
              <w:t>$0.00</w:t>
            </w:r>
          </w:p>
        </w:tc>
      </w:tr>
      <w:tr>
        <w:tc>
          <w:tcPr>
            <w:tcW w:type="dxa" w:w="2160"/>
          </w:tcPr>
          <w:p>
            <w:r>
              <w:t>22</w:t>
            </w:r>
          </w:p>
        </w:tc>
        <w:tc>
          <w:tcPr>
            <w:tcW w:type="dxa" w:w="2160"/>
          </w:tcPr>
          <w:p>
            <w:r>
              <w:t>Basement Bathroom</w:t>
            </w:r>
          </w:p>
        </w:tc>
        <w:tc>
          <w:tcPr>
            <w:tcW w:type="dxa" w:w="2160"/>
          </w:tcPr>
          <w:p>
            <w:r>
              <w:t>TBD per plans</w:t>
            </w:r>
          </w:p>
        </w:tc>
        <w:tc>
          <w:tcPr>
            <w:tcW w:type="dxa" w:w="2160"/>
          </w:tcPr>
          <w:p>
            <w:r>
              <w:t>$0.00</w:t>
            </w:r>
          </w:p>
        </w:tc>
      </w:tr>
      <w:tr>
        <w:tc>
          <w:tcPr>
            <w:tcW w:type="dxa" w:w="2160"/>
          </w:tcPr>
          <w:p>
            <w:r/>
          </w:p>
        </w:tc>
        <w:tc>
          <w:tcPr>
            <w:tcW w:type="dxa" w:w="2160"/>
          </w:tcPr>
          <w:p>
            <w:r>
              <w:t>Install and Delivery</w:t>
            </w:r>
          </w:p>
        </w:tc>
        <w:tc>
          <w:tcPr>
            <w:tcW w:type="dxa" w:w="2160"/>
          </w:tcPr>
          <w:p>
            <w:r/>
          </w:p>
        </w:tc>
        <w:tc>
          <w:tcPr>
            <w:tcW w:type="dxa" w:w="2160"/>
          </w:tcPr>
          <w:p>
            <w:r>
              <w:t>$16,000.00</w:t>
            </w:r>
          </w:p>
        </w:tc>
      </w:tr>
      <w:tr>
        <w:tc>
          <w:tcPr>
            <w:tcW w:type="dxa" w:w="2160"/>
          </w:tcPr>
          <w:p>
            <w:r/>
          </w:p>
        </w:tc>
        <w:tc>
          <w:tcPr>
            <w:tcW w:type="dxa" w:w="2160"/>
          </w:tcPr>
          <w:p>
            <w:r>
              <w:t>Labor (30%)</w:t>
            </w:r>
          </w:p>
        </w:tc>
        <w:tc>
          <w:tcPr>
            <w:tcW w:type="dxa" w:w="2160"/>
          </w:tcPr>
          <w:p>
            <w:r/>
          </w:p>
        </w:tc>
        <w:tc>
          <w:tcPr>
            <w:tcW w:type="dxa" w:w="2160"/>
          </w:tcPr>
          <w:p>
            <w:r>
              <w:t>$19,451.68</w:t>
            </w:r>
          </w:p>
        </w:tc>
      </w:tr>
      <w:tr>
        <w:tc>
          <w:tcPr>
            <w:tcW w:type="dxa" w:w="2160"/>
          </w:tcPr>
          <w:p>
            <w:r/>
          </w:p>
        </w:tc>
        <w:tc>
          <w:tcPr>
            <w:tcW w:type="dxa" w:w="2160"/>
          </w:tcPr>
          <w:p>
            <w:r/>
          </w:p>
        </w:tc>
        <w:tc>
          <w:tcPr>
            <w:tcW w:type="dxa" w:w="2160"/>
          </w:tcPr>
          <w:p>
            <w:r>
              <w:t>SUBTOTAL</w:t>
            </w:r>
          </w:p>
        </w:tc>
        <w:tc>
          <w:tcPr>
            <w:tcW w:type="dxa" w:w="2160"/>
          </w:tcPr>
          <w:p>
            <w:r>
              <w:t>$84,290.60</w:t>
            </w:r>
          </w:p>
        </w:tc>
      </w:tr>
      <w:tr>
        <w:tc>
          <w:tcPr>
            <w:tcW w:type="dxa" w:w="2160"/>
          </w:tcPr>
          <w:p>
            <w:r/>
          </w:p>
        </w:tc>
        <w:tc>
          <w:tcPr>
            <w:tcW w:type="dxa" w:w="2160"/>
          </w:tcPr>
          <w:p>
            <w:r/>
          </w:p>
        </w:tc>
        <w:tc>
          <w:tcPr>
            <w:tcW w:type="dxa" w:w="2160"/>
          </w:tcPr>
          <w:p>
            <w:r>
              <w:t>TAX</w:t>
            </w:r>
          </w:p>
        </w:tc>
        <w:tc>
          <w:tcPr>
            <w:tcW w:type="dxa" w:w="2160"/>
          </w:tcPr>
          <w:p>
            <w:r>
              <w:t>$0.00</w:t>
            </w:r>
          </w:p>
        </w:tc>
      </w:tr>
      <w:tr>
        <w:tc>
          <w:tcPr>
            <w:tcW w:type="dxa" w:w="2160"/>
          </w:tcPr>
          <w:p>
            <w:r/>
          </w:p>
        </w:tc>
        <w:tc>
          <w:tcPr>
            <w:tcW w:type="dxa" w:w="2160"/>
          </w:tcPr>
          <w:p>
            <w:r/>
          </w:p>
        </w:tc>
        <w:tc>
          <w:tcPr>
            <w:tcW w:type="dxa" w:w="2160"/>
          </w:tcPr>
          <w:p>
            <w:r>
              <w:t>TOTAL CONTRACT PRICE</w:t>
            </w:r>
          </w:p>
        </w:tc>
        <w:tc>
          <w:tcPr>
            <w:tcW w:type="dxa" w:w="2160"/>
          </w:tcPr>
          <w:p>
            <w:r>
              <w:t>$84,290.60</w:t>
            </w:r>
          </w:p>
        </w:tc>
      </w:tr>
    </w:tbl>
    <w:p/>
    <w:p>
      <w:pPr>
        <w:pStyle w:val="Heading2"/>
      </w:pPr>
      <w:r>
        <w:t>REVISION NOTES (No Price Change):</w:t>
      </w:r>
    </w:p>
    <w:p>
      <w:r>
        <w:t>1. Two (2) linen cabinets have been eliminated from scope.</w:t>
      </w:r>
    </w:p>
    <w:p>
      <w:r>
        <w:t>2. Powder room vanity: Changed from drawers to double doors.</w:t>
      </w:r>
    </w:p>
    <w:p>
      <w:r>
        <w:t>3. Primary closet (North &amp; South): Design to be finalized per approved architectural plans.</w:t>
      </w:r>
    </w:p>
    <w:p>
      <w:r>
        <w:t>4. Laundry South: Upper corner cabinet added per revised layout.</w:t>
      </w:r>
    </w:p>
    <w:p>
      <w:r>
        <w:t>5. Gun Room: Floating cabinet to be drawn and detailed; pricing pending final design.</w:t>
      </w:r>
    </w:p>
    <w:p/>
    <w:p>
      <w:r>
        <w:t>Subcontractor acknowledges receipt of these revision notes and agrees to incorporate them into final shop drawings.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