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PAINT SUBCONTRACT AGREEMENT</w:t>
      </w:r>
    </w:p>
    <w:p>
      <w:pPr>
        <w:spacing w:after="180"/>
      </w:pPr>
      <w:r>
        <w:t xml:space="preserve">This Subcontract Agreement ("Agreement") is entered into as of June 19, 2026, by and between:</w:t>
      </w:r>
    </w:p>
    <w:p>
      <w:pPr>
        <w:spacing w:after="120"/>
      </w:pPr>
      <w:r>
        <w:rPr>
          <w:b/>
          <w:bCs/>
        </w:rPr>
        <w:t xml:space="preserve">CONTRACTOR:</w:t>
      </w:r>
      <w:r>
        <w:t xml:space="preserve"> RAC Inc., 1267 N 1390 W, St. George, UT 84770</w:t>
      </w:r>
    </w:p>
    <w:p>
      <w:pPr>
        <w:spacing w:after="240"/>
      </w:pPr>
      <w:r>
        <w:rPr>
          <w:b/>
          <w:bCs/>
        </w:rPr>
        <w:t xml:space="preserve">SUBCONTRACTOR:</w:t>
      </w:r>
      <w:r>
        <w:t xml:space="preserve"> Red Hills Painting LLC, St. George, UT (Attn: Jose Espinoza, redhillspaintingllc@gmail.com)</w:t>
      </w:r>
    </w:p>
    <w:p>
      <w:pPr>
        <w:pStyle w:val="Heading1"/>
      </w:pPr>
      <w:r>
        <w:t xml:space="preserve">ARTICLE 1: PROJECT DESCRIPTION</w:t>
      </w:r>
    </w:p>
    <w:p>
      <w:pPr>
        <w:spacing w:after="120"/>
      </w:pPr>
      <w:r>
        <w:rPr>
          <w:b/>
          <w:bCs/>
        </w:rPr>
        <w:t xml:space="preserve">1.1 Project: </w:t>
      </w:r>
      <w:r>
        <w:t xml:space="preserve">Rodriguez Residence, Oak Valley Estates Lot 5, Liberty Lane, Kanarraville, UT</w:t>
      </w:r>
    </w:p>
    <w:p>
      <w:pPr>
        <w:spacing w:after="240"/>
      </w:pPr>
      <w:r>
        <w:rPr>
          <w:b/>
          <w:bCs/>
        </w:rPr>
        <w:t xml:space="preserve">1.2 Owner: </w:t>
      </w:r>
      <w:r>
        <w:t xml:space="preserve">ARJR Kanarraville Holdings LLC</w:t>
      </w:r>
    </w:p>
    <w:p>
      <w:pPr>
        <w:pStyle w:val="Heading1"/>
      </w:pPr>
      <w:r>
        <w:t xml:space="preserve">ARTICLE 2: SCOPE OF WORK</w:t>
      </w:r>
    </w:p>
    <w:p>
      <w:pPr>
        <w:spacing w:after="120"/>
      </w:pPr>
      <w:r>
        <w:rPr>
          <w:b/>
          <w:bCs/>
        </w:rPr>
        <w:t xml:space="preserve">2.1 Base Scope: </w:t>
      </w:r>
      <w:r>
        <w:t xml:space="preserve">Subcontractor shall furnish all labor, tools, equipment, and services necessary to complete the painting work as detailed in Exhibit A (Schedule of Values) attached hereto and incorporated by reference. Scope includes all interior and exterior painting, primer, caulk, and putty as required for a complete, paint-ready finish.</w:t>
      </w:r>
    </w:p>
    <w:p>
      <w:pPr>
        <w:spacing w:after="240"/>
      </w:pPr>
      <w:r>
        <w:rPr>
          <w:b/>
          <w:bCs/>
        </w:rPr>
        <w:t xml:space="preserve">2.2 Contract Price: </w:t>
      </w:r>
      <w:r>
        <w:t xml:space="preserve">The total contract price is Forty Thousand Dollars ($40,000.00) for the complete paint scope.</w:t>
      </w:r>
    </w:p>
    <w:p>
      <w:pPr>
        <w:pStyle w:val="Heading1"/>
      </w:pPr>
      <w:r>
        <w:t xml:space="preserve">ARTICLE 3: PAYMENT TERMS</w:t>
      </w:r>
    </w:p>
    <w:p>
      <w:pPr>
        <w:spacing w:after="120"/>
      </w:pPr>
      <w:r>
        <w:rPr>
          <w:b/>
          <w:bCs/>
        </w:rPr>
        <w:t xml:space="preserve">3.1 Progress Payments: </w:t>
      </w:r>
      <w:r>
        <w:t xml:space="preserve">Contractor shall make monthly progress payments to Subcontractor based on work completed. No retainage shall be withheld from progress payments.</w:t>
      </w:r>
    </w:p>
    <w:p>
      <w:pPr>
        <w:spacing w:after="120"/>
      </w:pPr>
      <w:r>
        <w:rPr>
          <w:b/>
          <w:bCs/>
        </w:rPr>
        <w:t xml:space="preserve">3.2 Payment Schedule: </w:t>
      </w:r>
      <w:r>
        <w:t xml:space="preserve">Payments are due net 30 days from invoice date.</w:t>
      </w:r>
    </w:p>
    <w:p>
      <w:pPr>
        <w:spacing w:after="240"/>
      </w:pPr>
      <w:r>
        <w:rPr>
          <w:b/>
          <w:bCs/>
        </w:rPr>
        <w:t xml:space="preserve">3.3 Invoice Requirements: </w:t>
      </w:r>
      <w:r>
        <w:t xml:space="preserve">Subcontractor shall submit invoices referencing the Schedule of Values (Exhibit A) with percentage of completion for each phase of work.</w:t>
      </w:r>
    </w:p>
    <w:p>
      <w:pPr>
        <w:pStyle w:val="Heading1"/>
      </w:pPr>
      <w:r>
        <w:t xml:space="preserve">ARTICLE 4: TIME FOR PERFORMANCE</w:t>
      </w:r>
    </w:p>
    <w:p>
      <w:pPr>
        <w:spacing w:after="120"/>
      </w:pPr>
      <w:r>
        <w:rPr>
          <w:b/>
          <w:bCs/>
        </w:rPr>
        <w:t xml:space="preserve">4.1 Commencement: </w:t>
      </w:r>
      <w:r>
        <w:t xml:space="preserve">Work shall commence upon written notice from Contractor after drywall and texture are complete and surfaces are ready for paint.</w:t>
      </w:r>
    </w:p>
    <w:p>
      <w:pPr>
        <w:spacing w:after="240"/>
      </w:pPr>
      <w:r>
        <w:rPr>
          <w:b/>
          <w:bCs/>
        </w:rPr>
        <w:t xml:space="preserve">4.2 Completion: </w:t>
      </w:r>
      <w:r>
        <w:t xml:space="preserve">Subcontractor shall complete work within the timeframe necessary for Contractor to meet its obligations to Owner. Subcontractor acknowledges it is subject to any liquidated damages provisions in the Owner contract resulting from Subcontractor-caused delays.</w:t>
      </w:r>
    </w:p>
    <w:p>
      <w:pPr>
        <w:pStyle w:val="Heading1"/>
      </w:pPr>
      <w:r>
        <w:t xml:space="preserve">ARTICLE 5: RESPONSIBILITIES</w:t>
      </w:r>
    </w:p>
    <w:p>
      <w:pPr>
        <w:spacing w:after="120"/>
      </w:pPr>
      <w:r>
        <w:rPr>
          <w:b/>
          <w:bCs/>
        </w:rPr>
        <w:t xml:space="preserve">5.1 General Obligations: </w:t>
      </w:r>
      <w:r>
        <w:t xml:space="preserve">Subcontractor assumes all responsibilities and obligations that Contractor has undertaken for Owner concerning the subcontract work.</w:t>
      </w:r>
    </w:p>
    <w:p>
      <w:pPr>
        <w:spacing w:after="120"/>
      </w:pPr>
      <w:r>
        <w:rPr>
          <w:b/>
          <w:bCs/>
        </w:rPr>
        <w:t xml:space="preserve">5.2 Materials: </w:t>
      </w:r>
      <w:r>
        <w:t xml:space="preserve">Subcontractor shall furnish all paint, primer, caulk, putty, masking, and related painting materials and labor for the base scope. Materials or scope beyond the base (e.g. specialty coatings, additional coats, accent walls) require written change order with adjusted pricing.</w:t>
      </w:r>
    </w:p>
    <w:p>
      <w:pPr>
        <w:spacing w:after="120"/>
      </w:pPr>
      <w:r>
        <w:rPr>
          <w:b/>
          <w:bCs/>
        </w:rPr>
        <w:t xml:space="preserve">5.3 Temporary Hardware: </w:t>
      </w:r>
      <w:r>
        <w:t xml:space="preserve">Subcontractor shall protect adjacent finishes, flooring, fixtures, and hardware from overspray and paint.</w:t>
      </w:r>
    </w:p>
    <w:p>
      <w:pPr>
        <w:spacing w:after="120"/>
      </w:pPr>
      <w:r>
        <w:rPr>
          <w:b/>
          <w:bCs/>
        </w:rPr>
        <w:t xml:space="preserve">5.4 Site Cleanup: </w:t>
      </w:r>
      <w:r>
        <w:t xml:space="preserve">Subcontractor shall maintain a clean worksite by removing all refuse and debris daily. All excess materials, tools, and equipment must be removed upon completion.</w:t>
      </w:r>
    </w:p>
    <w:p>
      <w:pPr>
        <w:spacing w:after="240"/>
      </w:pPr>
      <w:r>
        <w:rPr>
          <w:b/>
          <w:bCs/>
        </w:rPr>
        <w:t xml:space="preserve">5.5 Quality Standards: </w:t>
      </w:r>
      <w:r>
        <w:t xml:space="preserve">All work shall be performed to the full satisfaction of both Contractor and Owner. If Contractor determines Subcontractor is not progressing satisfactorily, Contractor reserves the right, after reasonable notice, to assume control of the subcontract work.</w:t>
      </w:r>
    </w:p>
    <w:p>
      <w:pPr>
        <w:pStyle w:val="Heading1"/>
      </w:pPr>
      <w:r>
        <w:t xml:space="preserve">ARTICLE 6: WARRANTY</w:t>
      </w:r>
    </w:p>
    <w:p>
      <w:pPr>
        <w:spacing w:after="240"/>
      </w:pPr>
      <w:r>
        <w:rPr>
          <w:b/>
          <w:bCs/>
        </w:rPr>
        <w:t xml:space="preserve">6.1 Warranty Period: </w:t>
      </w:r>
      <w:r>
        <w:t xml:space="preserve">Subcontractor warrants all workmanship for one (1) year from date of substantial completion. This warranty covers installation defects but does not cover material defects or damage caused by others.</w:t>
      </w:r>
    </w:p>
    <w:p>
      <w:pPr>
        <w:pStyle w:val="Heading1"/>
      </w:pPr>
      <w:r>
        <w:t xml:space="preserve">ARTICLE 7: INSURANCE</w:t>
      </w:r>
    </w:p>
    <w:p>
      <w:pPr>
        <w:spacing w:after="240"/>
      </w:pPr>
      <w:r>
        <w:rPr>
          <w:b/>
          <w:bCs/>
        </w:rPr>
        <w:t xml:space="preserve">7.1 Required Coverage: </w:t>
      </w:r>
      <w:r>
        <w:t xml:space="preserve">Subcontractor shall maintain general liability and workers' compensation insurance as required by law. Certificate of insurance shall be provided to Contractor prior to commencing work.</w:t>
      </w:r>
    </w:p>
    <w:p>
      <w:pPr>
        <w:pStyle w:val="Heading1"/>
      </w:pPr>
      <w:r>
        <w:t xml:space="preserve">ARTICLE 8: CHANGES</w:t>
      </w:r>
    </w:p>
    <w:p>
      <w:pPr>
        <w:spacing w:after="240"/>
      </w:pPr>
      <w:r>
        <w:rPr>
          <w:b/>
          <w:bCs/>
        </w:rPr>
        <w:t xml:space="preserve">8.1 Change Orders: </w:t>
      </w:r>
      <w:r>
        <w:t xml:space="preserve">Any alteration or deviation from the specifications involving extra costs, including specialty coatings, additional coats, or accent finishes, shall be executed upon written change orders and will become an extra charge over and above this Agreement.</w:t>
      </w:r>
    </w:p>
    <w:p>
      <w:pPr>
        <w:pStyle w:val="Heading1"/>
      </w:pPr>
      <w:r>
        <w:t xml:space="preserve">ARTICLE 9: DISPUTE RESOLUTION</w:t>
      </w:r>
    </w:p>
    <w:p>
      <w:pPr>
        <w:spacing w:after="240"/>
      </w:pPr>
      <w:r>
        <w:rPr>
          <w:b/>
          <w:bCs/>
        </w:rPr>
        <w:t xml:space="preserve">9.1 Governing Law: </w:t>
      </w:r>
      <w:r>
        <w:t xml:space="preserve">This Agreement shall be governed by the laws of the State of Utah.</w:t>
      </w:r>
    </w:p>
    <w:p>
      <w:pPr>
        <w:spacing w:before="480" w:after="240"/>
      </w:pPr>
      <w:r>
        <w:t xml:space="preserve"/>
      </w:r>
    </w:p>
    <w:p>
      <w:pPr>
        <w:spacing w:after="240"/>
      </w:pPr>
      <w:r>
        <w:rPr>
          <w:b/>
          <w:bCs/>
        </w:rPr>
        <w:t xml:space="preserve">CONTRACTOR:</w:t>
      </w:r>
    </w:p>
    <w:p>
      <w:pPr>
        <w:spacing w:after="60"/>
      </w:pPr>
      <w:r>
        <w:t xml:space="preserve">RAC Inc.</w:t>
      </w:r>
    </w:p>
    <w:p>
      <w:pPr>
        <w:spacing w:after="120"/>
      </w:pPr>
      <w:r>
        <w:t xml:space="preserve">By: _________________________________    Date: _______________</w:t>
      </w:r>
    </w:p>
    <w:p>
      <w:pPr>
        <w:spacing w:after="60"/>
      </w:pPr>
      <w:r>
        <w:t xml:space="preserve">Name: Craig Engel</w:t>
      </w:r>
    </w:p>
    <w:p>
      <w:pPr>
        <w:spacing w:after="240"/>
      </w:pPr>
      <w:r>
        <w:t xml:space="preserve">Title: Owner/Project Manager</w:t>
      </w:r>
    </w:p>
    <w:p>
      <w:pPr>
        <w:spacing w:after="240"/>
      </w:pPr>
      <w:r>
        <w:rPr>
          <w:b/>
          <w:bCs/>
        </w:rPr>
        <w:t xml:space="preserve">SUBCONTRACTOR:</w:t>
      </w:r>
    </w:p>
    <w:p>
      <w:pPr>
        <w:spacing w:after="60"/>
      </w:pPr>
      <w:r>
        <w:t xml:space="preserve">A &amp; L Finish Carpentry LLC</w:t>
      </w:r>
    </w:p>
    <w:p>
      <w:pPr>
        <w:spacing w:after="120"/>
      </w:pPr>
      <w:r>
        <w:t xml:space="preserve">By: _________________________________    Date: _______________</w:t>
      </w:r>
    </w:p>
    <w:p>
      <w:pPr>
        <w:spacing w:after="60"/>
      </w:pPr>
      <w:r>
        <w:t xml:space="preserve">Name: ___________________________</w:t>
      </w:r>
    </w:p>
    <w:p>
      <w:pPr>
        <w:spacing w:after="480"/>
      </w:pPr>
      <w:r>
        <w:t xml:space="preserve">Title: ___________________________</w:t>
      </w:r>
    </w:p>
    <w:p>
      <w:pPr>
        <w:spacing w:before="480" w:after="240"/>
        <w:jc w:val="center"/>
      </w:pPr>
      <w:r>
        <w:rPr>
          <w:b/>
          <w:bCs/>
          <w:sz w:val="28"/>
          <w:szCs w:val="28"/>
        </w:rPr>
        <w:t xml:space="preserve">EXHIBIT A</w:t>
      </w:r>
    </w:p>
    <w:p>
      <w:pPr>
        <w:spacing w:after="360"/>
        <w:jc w:val="center"/>
      </w:pPr>
      <w:r>
        <w:rPr>
          <w:b/>
          <w:bCs/>
          <w:sz w:val="28"/>
          <w:szCs w:val="28"/>
        </w:rPr>
        <w:t xml:space="preserve">SCHEDULE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0"/>
        <w:gridCol w:w="1875"/>
        <w:gridCol w:w="1875"/>
      </w:tblGrid>
      <w:tr>
        <w:tc>
          <w:tcPr>
            <w:tcW w:type="dxa" w:w="561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Description</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center"/>
            </w:pPr>
            <w:r>
              <w:rPr>
                <w:b/>
                <w:bCs/>
              </w:rPr>
              <w:t xml:space="preserve">Quantity</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Amount</w:t>
            </w:r>
          </w:p>
        </w:tc>
      </w:tr>
      <w:tr>
        <w:tc>
          <w:tcPr>
            <w:tcW w:type="dxa" w:w="561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r>
              <w:rPr>
                <w:b/>
                <w:bCs/>
              </w:rPr>
              <w:t xml:space="preserve">INTERIOR DOORS &amp; TRIM</w:t>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right"/>
            </w:pPr>
            <w:r>
              <w:rPr>
                <w:b/>
                <w:bCs/>
              </w:rPr>
              <w:t xml:space="preserve"/>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8' interior doors (solid core, paint grade)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6,732 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4" baseboards (MDF, paint grade)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6,732 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3" door casing (paint grade)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6,732 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standard 16" closet shelving (NO MASTER CLOSET)</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Per plans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Doors &amp; Trim subtotal (6,732 SF @ $1.05/SF)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$7,068.60</w:t>
            </w:r>
          </w:p>
        </w:tc>
      </w:tr>
      <w:tr>
        <w:tc>
          <w:tcPr>
            <w:tcW w:type="dxa" w:w="561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r>
              <w:rPr>
                <w:b/>
                <w:bCs/>
              </w:rPr>
              <w:t xml:space="preserve">HARDWARE INSTALLATION</w:t>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right"/>
            </w:pPr>
            <w:r>
              <w:rPr>
                <w:b/>
                <w:bCs/>
              </w:rPr>
              <w:t xml:space="preserve"/>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doorknobs, door stops, deadbolts, temp knobs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6,732 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bathroom hardware (towel rings, bars, TP holders)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Per plans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house numbers on stucco (courtesy)</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Hardware subtotal (6,732 SF @ $0.20/SF)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$1,346.40</w:t>
            </w:r>
          </w:p>
        </w:tc>
      </w:tr>
      <w:tr>
        <w:tc>
          <w:tcPr>
            <w:tcW w:type="dxa" w:w="561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r>
              <w:rPr>
                <w:b/>
                <w:bCs/>
              </w:rPr>
              <w:t xml:space="preserve">GARAGE</w:t>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right"/>
            </w:pPr>
            <w:r>
              <w:rPr>
                <w:b/>
                <w:bCs/>
              </w:rPr>
              <w:t xml:space="preserve"/>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6" baseboards (paint grade)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142 LF @ $3.00</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$426.00</w:t>
            </w:r>
          </w:p>
        </w:tc>
      </w:tr>
      <w:tr>
        <w:tc>
          <w:tcPr>
            <w:tcW w:type="dxa" w:w="561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r>
              <w:rPr>
                <w:b/>
                <w:bCs/>
              </w:rPr>
              <w:t xml:space="preserve">EXTERIOR &amp; GARAGE DOORS</w:t>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right"/>
            </w:pPr>
            <w:r>
              <w:rPr>
                <w:b/>
                <w:bCs/>
              </w:rPr>
              <w:t xml:space="preserve"/>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8' exterior/garage doors (paint grade, hollow core, excludes front entry)</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13 @ $75.00</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$975.00</w:t>
            </w:r>
          </w:p>
        </w:tc>
      </w:tr>
      <w:tr>
        <w:tc>
          <w:tcPr>
            <w:tcW w:type="dxa" w:w="5610"/>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r>
              <w:rPr>
                <w:b/>
                <w:bCs/>
              </w:rPr>
              <w:t xml:space="preserve">POCKET DOORS</w:t>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jc w:val="right"/>
            </w:pPr>
            <w:r>
              <w:rPr>
                <w:b/>
                <w:bCs/>
              </w:rPr>
              <w:t xml:space="preserve"/>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Install 8' pocket doors (paint grade, frame &amp; slab)</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8 @ $150.00</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$1,200.00</w:t>
            </w:r>
          </w:p>
        </w:tc>
      </w:tr>
      <w:tr>
        <w:tc>
          <w:tcPr>
            <w:tcW w:type="dxa" w:w="561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TOTAL CONTRACT PRICE (LABOR ONLY):</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$11,016.00</w:t>
            </w:r>
          </w:p>
        </w:tc>
      </w:tr>
    </w:tbl>
    <w:p>
      <w:pPr>
        <w:spacing w:before="240" w:after="120"/>
      </w:pPr>
      <w:r>
        <w:t xml:space="preserve">Optional (Not Included): Hidden door to gun room installation @ $400.00</w:t>
      </w:r>
    </w:p>
    <w:p>
      <w:pPr>
        <w:spacing w:after="120"/>
      </w:pPr>
      <w:r>
        <w:t xml:space="preserve">Note: Metal doors, solid core doors, stain grade doors, stain grade trim, or real wood trim require written change order with additional charges.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2026-02-04T20:24:25.233Z</dcterms:created>
  <dcterms:modified xsi:type="dcterms:W3CDTF">2026-02-04T20:24:25.235Z</dcterms:modified>
</cp:coreProperties>
</file>

<file path=docProps/custom.xml><?xml version="1.0" encoding="utf-8"?>
<Properties xmlns="http://schemas.openxmlformats.org/officeDocument/2006/custom-properties" xmlns:vt="http://schemas.openxmlformats.org/officeDocument/2006/docPropsVTypes"/>
</file>