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orma-internacional-iso-20700"/>
    <w:p>
      <w:pPr>
        <w:pStyle w:val="Heading1"/>
      </w:pPr>
      <w:r>
        <w:t xml:space="preserve">NORMA INTERNACIONAL ISO 20700</w:t>
      </w:r>
    </w:p>
    <w:p>
      <w:pPr>
        <w:pStyle w:val="FirstParagraph"/>
      </w:pPr>
      <w:r>
        <w:rPr>
          <w:bCs/>
          <w:b/>
        </w:rPr>
        <w:t xml:space="preserve">Primera edición — 2017-06</w:t>
      </w:r>
    </w:p>
    <w:bookmarkEnd w:id="20"/>
    <w:bookmarkStart w:id="25" w:name="Xf57a41890836e3dee20c59087d1888a0a0311e6"/>
    <w:p>
      <w:pPr>
        <w:pStyle w:val="Heading1"/>
      </w:pPr>
      <w:r>
        <w:t xml:space="preserve">Directrices para los servicios de consultoría en gestión</w:t>
      </w:r>
    </w:p>
    <w:p>
      <w:pPr>
        <w:pStyle w:val="FirstParagraph"/>
      </w:pPr>
      <w:r>
        <w:rPr>
          <w:iCs/>
          <w:i/>
        </w:rPr>
        <w:t xml:space="preserve">(Guidelines for management consultancy services / Lignes directrices relatives aux services de conseil en management)</w:t>
      </w:r>
    </w:p>
    <w:p>
      <w:pPr>
        <w:pStyle w:val="BodyText"/>
      </w:pPr>
      <w:r>
        <w:t xml:space="preserve">Número de referencia: ISO 20700:2017(E)</w:t>
      </w:r>
    </w:p>
    <w:p>
      <w:pPr>
        <w:pStyle w:val="BodyText"/>
      </w:pPr>
      <w:r>
        <w:t xml:space="preserve">© ISO 2017</w:t>
      </w:r>
    </w:p>
    <w:p>
      <w:pPr>
        <w:pStyle w:val="BlockText"/>
      </w:pPr>
      <w:r>
        <w:rPr>
          <w:iCs/>
          <w:i/>
        </w:rPr>
        <w:t xml:space="preserve">Traducción no oficial al español del documento original en inglés. En caso de duda prevalece el texto original. Siglas:</w:t>
      </w:r>
      <w:r>
        <w:rPr>
          <w:iCs/>
          <w:i/>
        </w:rPr>
        <w:t xml:space="preserve"> </w:t>
      </w:r>
      <w:r>
        <w:rPr>
          <w:bCs/>
          <w:b/>
          <w:iCs/>
          <w:i/>
        </w:rPr>
        <w:t xml:space="preserve">MCS</w:t>
      </w:r>
      <w:r>
        <w:rPr>
          <w:iCs/>
          <w:i/>
        </w:rPr>
        <w:t xml:space="preserve"> </w:t>
      </w:r>
      <w:r>
        <w:rPr>
          <w:iCs/>
          <w:i/>
        </w:rPr>
        <w:t xml:space="preserve">= servicio de consultoría en gestión;</w:t>
      </w:r>
      <w:r>
        <w:rPr>
          <w:iCs/>
          <w:i/>
        </w:rPr>
        <w:t xml:space="preserve"> </w:t>
      </w:r>
      <w:r>
        <w:rPr>
          <w:bCs/>
          <w:b/>
          <w:iCs/>
          <w:i/>
        </w:rPr>
        <w:t xml:space="preserve">MCSP</w:t>
      </w:r>
      <w:r>
        <w:rPr>
          <w:iCs/>
          <w:i/>
        </w:rPr>
        <w:t xml:space="preserve"> </w:t>
      </w:r>
      <w:r>
        <w:rPr>
          <w:iCs/>
          <w:i/>
        </w:rPr>
        <w:t xml:space="preserve">= proveedor de servicios de consultoría en gestión. Se conservan las siglas inglesas para facilitar la comparación con el original.</w:t>
      </w:r>
    </w:p>
    <w:p>
      <w:r>
        <w:pict>
          <v:rect style="width:0;height:1.5pt" o:hralign="center" o:hrstd="t" o:hr="t"/>
        </w:pict>
      </w:r>
    </w:p>
    <w:bookmarkStart w:id="21" w:name="X26d5804b1ca5c79b855995f722bfef2dfe5fb9b"/>
    <w:p>
      <w:pPr>
        <w:pStyle w:val="Heading2"/>
      </w:pPr>
      <w:r>
        <w:t xml:space="preserve">DOCUMENTO PROTEGIDO POR DERECHOS DE AUTOR</w:t>
      </w:r>
    </w:p>
    <w:p>
      <w:pPr>
        <w:pStyle w:val="FirstParagraph"/>
      </w:pPr>
      <w:r>
        <w:t xml:space="preserve">© ISO 2017, publicado en Suiza.</w:t>
      </w:r>
    </w:p>
    <w:p>
      <w:pPr>
        <w:pStyle w:val="BodyText"/>
      </w:pPr>
      <w:r>
        <w:t xml:space="preserve">Reservados todos los derechos. Salvo que se especifique otra cosa, ninguna parte de esta publicación puede reproducirse o utilizarse de ninguna forma ni por ningún medio, electrónico o mecánico, incluidos la fotocopia o la publicación en internet o en una intranet, sin autorización previa por escrito. La autorización puede solicitarse a ISO en la dirección indicada a continuación o al organismo miembro de ISO del país del solicitante.</w:t>
      </w:r>
    </w:p>
    <w:p>
      <w:pPr>
        <w:pStyle w:val="BodyText"/>
      </w:pPr>
      <w:r>
        <w:t xml:space="preserve">ISO copyright office</w:t>
      </w:r>
      <w:r>
        <w:t xml:space="preserve"> </w:t>
      </w:r>
      <w:r>
        <w:t xml:space="preserve">Ch. de Blandonnet 8 • CP 401</w:t>
      </w:r>
      <w:r>
        <w:t xml:space="preserve"> </w:t>
      </w:r>
      <w:r>
        <w:t xml:space="preserve">CH-1214 Vernier, Ginebra, Suiza</w:t>
      </w:r>
      <w:r>
        <w:t xml:space="preserve"> </w:t>
      </w:r>
      <w:r>
        <w:t xml:space="preserve">Tel. +41 22 749 01 11</w:t>
      </w:r>
      <w:r>
        <w:t xml:space="preserve"> </w:t>
      </w:r>
      <w:r>
        <w:t xml:space="preserve">Fax +41 22 749 09 47</w:t>
      </w:r>
      <w:r>
        <w:t xml:space="preserve"> </w:t>
      </w:r>
      <w:r>
        <w:t xml:space="preserve">copyright@iso.org</w:t>
      </w:r>
      <w:r>
        <w:t xml:space="preserve"> </w:t>
      </w:r>
      <w:r>
        <w:t xml:space="preserve">www.iso.org</w:t>
      </w:r>
    </w:p>
    <w:p>
      <w:r>
        <w:pict>
          <v:rect style="width:0;height:1.5pt" o:hralign="center" o:hrstd="t" o:hr="t"/>
        </w:pict>
      </w:r>
    </w:p>
    <w:bookmarkEnd w:id="21"/>
    <w:bookmarkStart w:id="22" w:name="contenido"/>
    <w:p>
      <w:pPr>
        <w:pStyle w:val="Heading2"/>
      </w:pPr>
      <w:r>
        <w:t xml:space="preserve">Contenido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N.º</w:t>
            </w:r>
          </w:p>
        </w:tc>
        <w:tc>
          <w:tcPr/>
          <w:p>
            <w:pPr>
              <w:pStyle w:val="Compact"/>
              <w:jc w:val="left"/>
            </w:pPr>
            <w:r>
              <w:t xml:space="preserve">Título</w:t>
            </w:r>
          </w:p>
        </w:tc>
      </w:tr>
      <w:tr>
        <w:tc>
          <w:tcPr/>
          <w:p>
            <w:pPr>
              <w:pStyle w:val="Compact"/>
            </w:pPr>
          </w:p>
        </w:tc>
        <w:tc>
          <w:tcPr/>
          <w:p>
            <w:pPr>
              <w:pStyle w:val="Compact"/>
              <w:jc w:val="left"/>
            </w:pPr>
            <w:r>
              <w:t xml:space="preserve">Prólogo</w:t>
            </w:r>
          </w:p>
        </w:tc>
      </w:tr>
      <w:tr>
        <w:tc>
          <w:tcPr/>
          <w:p>
            <w:pPr>
              <w:pStyle w:val="Compact"/>
            </w:pPr>
          </w:p>
        </w:tc>
        <w:tc>
          <w:tcPr/>
          <w:p>
            <w:pPr>
              <w:pStyle w:val="Compact"/>
              <w:jc w:val="left"/>
            </w:pPr>
            <w:r>
              <w:t xml:space="preserve">Introducción</w:t>
            </w:r>
          </w:p>
        </w:tc>
      </w:tr>
      <w:tr>
        <w:tc>
          <w:tcPr/>
          <w:p>
            <w:pPr>
              <w:pStyle w:val="Compact"/>
              <w:jc w:val="left"/>
            </w:pPr>
            <w:r>
              <w:t xml:space="preserve">1</w:t>
            </w:r>
          </w:p>
        </w:tc>
        <w:tc>
          <w:tcPr/>
          <w:p>
            <w:pPr>
              <w:pStyle w:val="Compact"/>
              <w:jc w:val="left"/>
            </w:pPr>
            <w:r>
              <w:t xml:space="preserve">Alcance</w:t>
            </w:r>
          </w:p>
        </w:tc>
      </w:tr>
      <w:tr>
        <w:tc>
          <w:tcPr/>
          <w:p>
            <w:pPr>
              <w:pStyle w:val="Compact"/>
              <w:jc w:val="left"/>
            </w:pPr>
            <w:r>
              <w:t xml:space="preserve">2</w:t>
            </w:r>
          </w:p>
        </w:tc>
        <w:tc>
          <w:tcPr/>
          <w:p>
            <w:pPr>
              <w:pStyle w:val="Compact"/>
              <w:jc w:val="left"/>
            </w:pPr>
            <w:r>
              <w:t xml:space="preserve">Referencias normativas</w:t>
            </w:r>
          </w:p>
        </w:tc>
      </w:tr>
      <w:tr>
        <w:tc>
          <w:tcPr/>
          <w:p>
            <w:pPr>
              <w:pStyle w:val="Compact"/>
              <w:jc w:val="left"/>
            </w:pPr>
            <w:r>
              <w:t xml:space="preserve">3</w:t>
            </w:r>
          </w:p>
        </w:tc>
        <w:tc>
          <w:tcPr/>
          <w:p>
            <w:pPr>
              <w:pStyle w:val="Compact"/>
              <w:jc w:val="left"/>
            </w:pPr>
            <w:r>
              <w:t xml:space="preserve">Términos y definiciones</w:t>
            </w:r>
          </w:p>
        </w:tc>
      </w:tr>
      <w:tr>
        <w:tc>
          <w:tcPr/>
          <w:p>
            <w:pPr>
              <w:pStyle w:val="Compact"/>
              <w:jc w:val="left"/>
            </w:pPr>
            <w:r>
              <w:t xml:space="preserve">4</w:t>
            </w:r>
          </w:p>
        </w:tc>
        <w:tc>
          <w:tcPr/>
          <w:p>
            <w:pPr>
              <w:pStyle w:val="Compact"/>
              <w:jc w:val="left"/>
            </w:pPr>
            <w:r>
              <w:t xml:space="preserve">Principios</w:t>
            </w:r>
          </w:p>
        </w:tc>
      </w:tr>
      <w:tr>
        <w:tc>
          <w:tcPr/>
          <w:p>
            <w:pPr>
              <w:pStyle w:val="Compact"/>
              <w:jc w:val="left"/>
            </w:pPr>
            <w:r>
              <w:t xml:space="preserve">4.1</w:t>
            </w:r>
          </w:p>
        </w:tc>
        <w:tc>
          <w:tcPr/>
          <w:p>
            <w:pPr>
              <w:pStyle w:val="Compact"/>
              <w:jc w:val="left"/>
            </w:pPr>
            <w:r>
              <w:t xml:space="preserve">Generalidades (4.1.1 Alcance; 4.1.2 Proceso típico de consultoría; 4.1.3 Responsabilidades)</w:t>
            </w:r>
          </w:p>
        </w:tc>
      </w:tr>
      <w:tr>
        <w:tc>
          <w:tcPr/>
          <w:p>
            <w:pPr>
              <w:pStyle w:val="Compact"/>
              <w:jc w:val="left"/>
            </w:pPr>
            <w:r>
              <w:t xml:space="preserve">4.2</w:t>
            </w:r>
          </w:p>
        </w:tc>
        <w:tc>
          <w:tcPr/>
          <w:p>
            <w:pPr>
              <w:pStyle w:val="Compact"/>
              <w:jc w:val="left"/>
            </w:pPr>
            <w:r>
              <w:t xml:space="preserve">Otras normas</w:t>
            </w:r>
          </w:p>
        </w:tc>
      </w:tr>
      <w:tr>
        <w:tc>
          <w:tcPr/>
          <w:p>
            <w:pPr>
              <w:pStyle w:val="Compact"/>
              <w:jc w:val="left"/>
            </w:pPr>
            <w:r>
              <w:t xml:space="preserve">4.3</w:t>
            </w:r>
          </w:p>
        </w:tc>
        <w:tc>
          <w:tcPr/>
          <w:p>
            <w:pPr>
              <w:pStyle w:val="Compact"/>
              <w:jc w:val="left"/>
            </w:pPr>
            <w:r>
              <w:t xml:space="preserve">Evaluación y mejora continuas</w:t>
            </w:r>
          </w:p>
        </w:tc>
      </w:tr>
      <w:tr>
        <w:tc>
          <w:tcPr/>
          <w:p>
            <w:pPr>
              <w:pStyle w:val="Compact"/>
              <w:jc w:val="left"/>
            </w:pPr>
            <w:r>
              <w:t xml:space="preserve">4.4</w:t>
            </w:r>
          </w:p>
        </w:tc>
        <w:tc>
          <w:tcPr/>
          <w:p>
            <w:pPr>
              <w:pStyle w:val="Compact"/>
              <w:jc w:val="left"/>
            </w:pPr>
            <w:r>
              <w:t xml:space="preserve">Políticas (4.4.1 Marco regulatorio; 4.4.2 Participación y compromiso de las partes interesadas; 4.4.3 Código de conducta ética y profesional; 4.4.4 Gobernanza del proyecto; 4.4.5 Capacidad; 4.4.6 Comunicación; 4.4.7 Protección de datos y confidencialidad; 4.4.8 Protección de la propiedad intelectual; 4.4.9 Responsabilidad social; 4.4.10 Salud y seguridad; 4.4.11 Gestión de riesgos y de la calidad; 4.4.12 Garantías)</w:t>
            </w:r>
          </w:p>
        </w:tc>
      </w:tr>
      <w:tr>
        <w:tc>
          <w:tcPr/>
          <w:p>
            <w:pPr>
              <w:pStyle w:val="Compact"/>
              <w:jc w:val="left"/>
            </w:pPr>
            <w:r>
              <w:t xml:space="preserve">5</w:t>
            </w:r>
          </w:p>
        </w:tc>
        <w:tc>
          <w:tcPr/>
          <w:p>
            <w:pPr>
              <w:pStyle w:val="Compact"/>
              <w:jc w:val="left"/>
            </w:pPr>
            <w:r>
              <w:t xml:space="preserve">Contratación</w:t>
            </w:r>
          </w:p>
        </w:tc>
      </w:tr>
      <w:tr>
        <w:tc>
          <w:tcPr/>
          <w:p>
            <w:pPr>
              <w:pStyle w:val="Compact"/>
              <w:jc w:val="left"/>
            </w:pPr>
            <w:r>
              <w:t xml:space="preserve">6</w:t>
            </w:r>
          </w:p>
        </w:tc>
        <w:tc>
          <w:tcPr/>
          <w:p>
            <w:pPr>
              <w:pStyle w:val="Compact"/>
              <w:jc w:val="left"/>
            </w:pPr>
            <w:r>
              <w:t xml:space="preserve">Ejecución</w:t>
            </w:r>
          </w:p>
        </w:tc>
      </w:tr>
      <w:tr>
        <w:tc>
          <w:tcPr/>
          <w:p>
            <w:pPr>
              <w:pStyle w:val="Compact"/>
              <w:jc w:val="left"/>
            </w:pPr>
            <w:r>
              <w:t xml:space="preserve">7</w:t>
            </w:r>
          </w:p>
        </w:tc>
        <w:tc>
          <w:tcPr/>
          <w:p>
            <w:pPr>
              <w:pStyle w:val="Compact"/>
              <w:jc w:val="left"/>
            </w:pPr>
            <w:r>
              <w:t xml:space="preserve">Cierre</w:t>
            </w:r>
          </w:p>
        </w:tc>
      </w:tr>
      <w:tr>
        <w:tc>
          <w:tcPr/>
          <w:p>
            <w:pPr>
              <w:pStyle w:val="Compact"/>
              <w:jc w:val="left"/>
            </w:pPr>
            <w:r>
              <w:t xml:space="preserve">Anexo A</w:t>
            </w:r>
          </w:p>
        </w:tc>
        <w:tc>
          <w:tcPr/>
          <w:p>
            <w:pPr>
              <w:pStyle w:val="Compact"/>
              <w:jc w:val="left"/>
            </w:pPr>
            <w:r>
              <w:t xml:space="preserve">(informativo) Información complementaria sobre las normas ISO</w:t>
            </w:r>
          </w:p>
        </w:tc>
      </w:tr>
      <w:tr>
        <w:tc>
          <w:tcPr/>
          <w:p>
            <w:pPr>
              <w:pStyle w:val="Compact"/>
              <w:jc w:val="left"/>
            </w:pPr>
            <w:r>
              <w:t xml:space="preserve">Anexo B</w:t>
            </w:r>
          </w:p>
        </w:tc>
        <w:tc>
          <w:tcPr/>
          <w:p>
            <w:pPr>
              <w:pStyle w:val="Compact"/>
              <w:jc w:val="left"/>
            </w:pPr>
            <w:r>
              <w:t xml:space="preserve">(informativo) Ejemplos de partes interesadas típicas</w:t>
            </w:r>
          </w:p>
        </w:tc>
      </w:tr>
      <w:tr>
        <w:tc>
          <w:tcPr/>
          <w:p>
            <w:pPr>
              <w:pStyle w:val="Compact"/>
              <w:jc w:val="left"/>
            </w:pPr>
            <w:r>
              <w:t xml:space="preserve">Anexo C</w:t>
            </w:r>
          </w:p>
        </w:tc>
        <w:tc>
          <w:tcPr/>
          <w:p>
            <w:pPr>
              <w:pStyle w:val="Compact"/>
              <w:jc w:val="left"/>
            </w:pPr>
            <w:r>
              <w:t xml:space="preserve">(informativo) Estructura básica de las actividades de consultoría</w:t>
            </w:r>
          </w:p>
        </w:tc>
      </w:tr>
      <w:tr>
        <w:tc>
          <w:tcPr/>
          <w:p>
            <w:pPr>
              <w:pStyle w:val="Compact"/>
              <w:jc w:val="left"/>
            </w:pPr>
            <w:r>
              <w:t xml:space="preserve">Anexo D</w:t>
            </w:r>
          </w:p>
        </w:tc>
        <w:tc>
          <w:tcPr/>
          <w:p>
            <w:pPr>
              <w:pStyle w:val="Compact"/>
              <w:jc w:val="left"/>
            </w:pPr>
            <w:r>
              <w:t xml:space="preserve">(informativo) Ejemplos de directrices para los MCSP sobre un código de conducta</w:t>
            </w:r>
          </w:p>
        </w:tc>
      </w:tr>
      <w:tr>
        <w:tc>
          <w:tcPr/>
          <w:p>
            <w:pPr>
              <w:pStyle w:val="Compact"/>
              <w:jc w:val="left"/>
            </w:pPr>
            <w:r>
              <w:t xml:space="preserve">Anexo E</w:t>
            </w:r>
          </w:p>
        </w:tc>
        <w:tc>
          <w:tcPr/>
          <w:p>
            <w:pPr>
              <w:pStyle w:val="Compact"/>
              <w:jc w:val="left"/>
            </w:pPr>
            <w:r>
              <w:t xml:space="preserve">(informativo) Ejemplos de directrices para gestionar conflictos de interés</w:t>
            </w:r>
          </w:p>
        </w:tc>
      </w:tr>
      <w:tr>
        <w:tc>
          <w:tcPr/>
          <w:p>
            <w:pPr>
              <w:pStyle w:val="Compact"/>
              <w:jc w:val="left"/>
            </w:pPr>
            <w:r>
              <w:t xml:space="preserve">Anexo F</w:t>
            </w:r>
          </w:p>
        </w:tc>
        <w:tc>
          <w:tcPr/>
          <w:p>
            <w:pPr>
              <w:pStyle w:val="Compact"/>
              <w:jc w:val="left"/>
            </w:pPr>
            <w:r>
              <w:t xml:space="preserve">(informativo) Ejemplos de criterios para evaluar la capacidad</w:t>
            </w:r>
          </w:p>
        </w:tc>
      </w:tr>
      <w:tr>
        <w:tc>
          <w:tcPr/>
          <w:p>
            <w:pPr>
              <w:pStyle w:val="Compact"/>
              <w:jc w:val="left"/>
            </w:pPr>
            <w:r>
              <w:t xml:space="preserve">Anexo G</w:t>
            </w:r>
          </w:p>
        </w:tc>
        <w:tc>
          <w:tcPr/>
          <w:p>
            <w:pPr>
              <w:pStyle w:val="Compact"/>
              <w:jc w:val="left"/>
            </w:pPr>
            <w:r>
              <w:t xml:space="preserve">(informativo) Ejemplos de directrices para los MCSP sobre gestión de riesgos típicos</w:t>
            </w:r>
          </w:p>
        </w:tc>
      </w:tr>
      <w:tr>
        <w:tc>
          <w:tcPr/>
          <w:p>
            <w:pPr>
              <w:pStyle w:val="Compact"/>
              <w:jc w:val="left"/>
            </w:pPr>
            <w:r>
              <w:t xml:space="preserve">Anexo H</w:t>
            </w:r>
          </w:p>
        </w:tc>
        <w:tc>
          <w:tcPr/>
          <w:p>
            <w:pPr>
              <w:pStyle w:val="Compact"/>
              <w:jc w:val="left"/>
            </w:pPr>
            <w:r>
              <w:t xml:space="preserve">(informativo) Ejemplos de actividades típicas de comprensión «previas al encargo»</w:t>
            </w:r>
          </w:p>
        </w:tc>
      </w:tr>
      <w:tr>
        <w:tc>
          <w:tcPr/>
          <w:p>
            <w:pPr>
              <w:pStyle w:val="Compact"/>
            </w:pPr>
          </w:p>
        </w:tc>
        <w:tc>
          <w:tcPr/>
          <w:p>
            <w:pPr>
              <w:pStyle w:val="Compact"/>
              <w:jc w:val="left"/>
            </w:pPr>
            <w:r>
              <w:t xml:space="preserve">Bibliografía</w:t>
            </w:r>
          </w:p>
        </w:tc>
      </w:tr>
    </w:tbl>
    <w:p>
      <w:r>
        <w:pict>
          <v:rect style="width:0;height:1.5pt" o:hralign="center" o:hrstd="t" o:hr="t"/>
        </w:pict>
      </w:r>
    </w:p>
    <w:bookmarkEnd w:id="22"/>
    <w:bookmarkStart w:id="23" w:name="prólogo"/>
    <w:p>
      <w:pPr>
        <w:pStyle w:val="Heading2"/>
      </w:pPr>
      <w:r>
        <w:t xml:space="preserve">Prólogo</w:t>
      </w:r>
    </w:p>
    <w:p>
      <w:pPr>
        <w:pStyle w:val="FirstParagraph"/>
      </w:pPr>
      <w:r>
        <w:t xml:space="preserve">ISO (Organización Internacional de Normalización) es una federación mundial de organismos nacionales de normalización (organismos miembros de ISO). El trabajo de preparación de las Normas Internacionales se realiza normalmente a través de los comités técnicos de ISO. Cada organismo miembro interesado en una materia para la cual se haya establecido un comité técnico tiene derecho a estar representado en dicho comité. Las organizaciones internacionales, gubernamentales y no gubernamentales, vinculadas con ISO también participan en los trabajos. ISO colabora estrechamente con la Comisión Electrotécnica Internacional (IEC) en todas las materias de normalización electrotécnica.</w:t>
      </w:r>
    </w:p>
    <w:p>
      <w:pPr>
        <w:pStyle w:val="BodyText"/>
      </w:pPr>
      <w:r>
        <w:t xml:space="preserve">Los procedimientos utilizados para desarrollar este documento y los previstos para su mantenimiento posterior se describen en las Directivas ISO/IEC, Parte 1. En particular, debe tenerse en cuenta los diferentes criterios de aprobación necesarios para los distintos tipos de documentos ISO. Este documento se redactó de acuerdo con las reglas editoriales de las Directivas ISO/IEC, Parte 2 (véase www.iso.org/directives).</w:t>
      </w:r>
    </w:p>
    <w:p>
      <w:pPr>
        <w:pStyle w:val="BodyText"/>
      </w:pPr>
      <w:r>
        <w:t xml:space="preserve">Se llama la atención sobre la posibilidad de que algunos de los elementos de este documento puedan ser objeto de derechos de patente. ISO no será responsable de identificar alguno o todos dichos derechos de patente. Los detalles de cualquier derecho de patente identificado durante el desarrollo del documento figurarán en la Introducción y/o en la lista ISO de declaraciones de patente recibidas (véase www.iso.org/patents).</w:t>
      </w:r>
    </w:p>
    <w:p>
      <w:pPr>
        <w:pStyle w:val="BodyText"/>
      </w:pPr>
      <w:r>
        <w:t xml:space="preserve">Cualquier nombre comercial utilizado en este documento es información proporcionada para comodidad de los usuarios y no constituye un respaldo.</w:t>
      </w:r>
    </w:p>
    <w:p>
      <w:pPr>
        <w:pStyle w:val="BodyText"/>
      </w:pPr>
      <w:r>
        <w:t xml:space="preserve">Para una explicación sobre la naturaleza voluntaria de las normas, el significado de los términos y expresiones específicos de ISO relacionados con la evaluación de la conformidad, así como información sobre la adhesión de ISO a los principios de la Organización Mundial del Comercio (OMC) sobre Obstáculos Técnicos al Comercio (OTC), véase la siguiente URL: www.iso.org/iso/foreword.html.</w:t>
      </w:r>
    </w:p>
    <w:p>
      <w:pPr>
        <w:pStyle w:val="BodyText"/>
      </w:pPr>
      <w:r>
        <w:t xml:space="preserve">Este documento fue preparado por el Comité de Proyecto ISO/PC 280,</w:t>
      </w:r>
      <w:r>
        <w:t xml:space="preserve"> </w:t>
      </w:r>
      <w:r>
        <w:rPr>
          <w:iCs/>
          <w:i/>
        </w:rPr>
        <w:t xml:space="preserve">Consultoría en gestión</w:t>
      </w:r>
      <w:r>
        <w:t xml:space="preserve">.</w:t>
      </w:r>
    </w:p>
    <w:p>
      <w:r>
        <w:pict>
          <v:rect style="width:0;height:1.5pt" o:hralign="center" o:hrstd="t" o:hr="t"/>
        </w:pict>
      </w:r>
    </w:p>
    <w:bookmarkEnd w:id="23"/>
    <w:bookmarkStart w:id="24" w:name="introducción"/>
    <w:p>
      <w:pPr>
        <w:pStyle w:val="Heading2"/>
      </w:pPr>
      <w:r>
        <w:t xml:space="preserve">Introducción</w:t>
      </w:r>
    </w:p>
    <w:p>
      <w:pPr>
        <w:pStyle w:val="FirstParagraph"/>
      </w:pPr>
      <w:r>
        <w:t xml:space="preserve">Los consultores en gestión utilizan su saber hacer para apoyar a los clientes de cualquier sector, a nivel local, regional y global, en cuestiones importantes como manejar la complejidad, lograr un crecimiento organizacional sostenible, innovar, alcanzar el cambio y mejorar la productividad. La industria de la consultoría en gestión hace una contribución sustancial a la economía mundial.</w:t>
      </w:r>
    </w:p>
    <w:p>
      <w:pPr>
        <w:pStyle w:val="BodyText"/>
      </w:pPr>
      <w:r>
        <w:t xml:space="preserve">El objetivo de este documento es mejorar la transparencia y la comprensión entre los clientes y los proveedores de servicios de consultoría en gestión (en adelante, MCSP), con el fin de lograr mejores resultados en los proyectos de consultoría. La aplicación adecuada de este documento permite a los MCSP ofrecer mayor valor a los clientes y reducir el riesgo en los encargos de consultoría en gestión. Al mejorar la calidad, el profesionalismo, el comportamiento ético y la interoperabilidad de la consultoría en gestión, este documento pretende aumentar la eficacia de la industria de la consultoría en gestión y acelerar el desarrollo de la profesión.</w:t>
      </w:r>
    </w:p>
    <w:p>
      <w:pPr>
        <w:pStyle w:val="BodyText"/>
      </w:pPr>
      <w:r>
        <w:t xml:space="preserve">Este documento se basa en las buenas prácticas de la industria de la consultoría en gestión. Incluye recomendaciones para mejorar la especificación, la ejecución, la aceptación del resultado y el cierre de los servicios de consultoría en gestión, basadas en investigaciones y en la experiencia de una amplia variedad de MCSP y de sus clientes.</w:t>
      </w:r>
    </w:p>
    <w:p>
      <w:pPr>
        <w:pStyle w:val="BodyText"/>
      </w:pPr>
      <w:r>
        <w:t xml:space="preserve">Este documento adopta la forma de un documento de orientación fácil de entender, redactado desde la perspectiva de la consultoría en gestión. Se aplica a todos los MCSP, cualquiera que sea su tamaño o especialización, incluidos los profesionales independientes, las sociedades, las asociaciones, las organizaciones gubernamentales y no gubernamentales, los departamentos internos de las corporaciones, etc.</w:t>
      </w:r>
    </w:p>
    <w:p>
      <w:pPr>
        <w:pStyle w:val="BodyText"/>
      </w:pPr>
      <w:r>
        <w:t xml:space="preserve">La innovación, la diferenciación y el comportamiento ético son partes importantes de la propuesta de valor de un MCSP. Este documento se centra únicamente en los entregables y en los resultados de la consultoría en gestión. Los MCSP son libres de utilizar sus propios métodos y enfoques.</w:t>
      </w:r>
    </w:p>
    <w:p>
      <w:pPr>
        <w:pStyle w:val="BodyText"/>
      </w:pPr>
      <w:r>
        <w:t xml:space="preserve">Este documento:</w:t>
      </w:r>
    </w:p>
    <w:p>
      <w:pPr>
        <w:numPr>
          <w:ilvl w:val="0"/>
          <w:numId w:val="1001"/>
        </w:numPr>
        <w:pStyle w:val="Compact"/>
      </w:pPr>
      <w:r>
        <w:t xml:space="preserve">está redactado como una guía;</w:t>
      </w:r>
    </w:p>
    <w:p>
      <w:pPr>
        <w:numPr>
          <w:ilvl w:val="0"/>
          <w:numId w:val="1001"/>
        </w:numPr>
        <w:pStyle w:val="Compact"/>
      </w:pPr>
      <w:r>
        <w:t xml:space="preserve">es aplicable a todos los MCSP;</w:t>
      </w:r>
    </w:p>
    <w:p>
      <w:pPr>
        <w:numPr>
          <w:ilvl w:val="0"/>
          <w:numId w:val="1001"/>
        </w:numPr>
        <w:pStyle w:val="Compact"/>
      </w:pPr>
      <w:r>
        <w:t xml:space="preserve">se aplica a las organizaciones, no a sus recursos internos;</w:t>
      </w:r>
    </w:p>
    <w:p>
      <w:pPr>
        <w:numPr>
          <w:ilvl w:val="0"/>
          <w:numId w:val="1001"/>
        </w:numPr>
        <w:pStyle w:val="Compact"/>
      </w:pPr>
      <w:r>
        <w:t xml:space="preserve">está basado en resultados;</w:t>
      </w:r>
    </w:p>
    <w:p>
      <w:pPr>
        <w:numPr>
          <w:ilvl w:val="0"/>
          <w:numId w:val="1001"/>
        </w:numPr>
        <w:pStyle w:val="Compact"/>
      </w:pPr>
      <w:r>
        <w:t xml:space="preserve">protege la innovación y la diferenciación;</w:t>
      </w:r>
    </w:p>
    <w:p>
      <w:pPr>
        <w:numPr>
          <w:ilvl w:val="0"/>
          <w:numId w:val="1001"/>
        </w:numPr>
        <w:pStyle w:val="Compact"/>
      </w:pPr>
      <w:r>
        <w:t xml:space="preserve">hace hincapié en la importancia de comprender las necesidades de los clientes;</w:t>
      </w:r>
    </w:p>
    <w:p>
      <w:pPr>
        <w:numPr>
          <w:ilvl w:val="0"/>
          <w:numId w:val="1001"/>
        </w:numPr>
        <w:pStyle w:val="Compact"/>
      </w:pPr>
      <w:r>
        <w:t xml:space="preserve">es fácil de entender.</w:t>
      </w:r>
    </w:p>
    <w:p>
      <w:r>
        <w:pict>
          <v:rect style="width:0;height:1.5pt" o:hralign="center" o:hrstd="t" o:hr="t"/>
        </w:pict>
      </w:r>
    </w:p>
    <w:bookmarkEnd w:id="24"/>
    <w:bookmarkEnd w:id="25"/>
    <w:bookmarkStart w:id="119" w:name="X1a704a377857fce116e7fdde3f3e8cf2022452d"/>
    <w:p>
      <w:pPr>
        <w:pStyle w:val="Heading1"/>
      </w:pPr>
      <w:r>
        <w:t xml:space="preserve">Directrices para los servicios de consultoría en gestión</w:t>
      </w:r>
    </w:p>
    <w:bookmarkStart w:id="26" w:name="alcance"/>
    <w:p>
      <w:pPr>
        <w:pStyle w:val="Heading2"/>
      </w:pPr>
      <w:r>
        <w:t xml:space="preserve">1 Alcance</w:t>
      </w:r>
    </w:p>
    <w:p>
      <w:pPr>
        <w:pStyle w:val="FirstParagraph"/>
      </w:pPr>
      <w:r>
        <w:t xml:space="preserve">Este documento proporciona directrices para la prestación eficaz de servicios de consultoría en gestión.</w:t>
      </w:r>
    </w:p>
    <w:p>
      <w:pPr>
        <w:pStyle w:val="BodyText"/>
      </w:pPr>
      <w:r>
        <w:t xml:space="preserve">NOTA — Véase el Anexo A para información complementaria sobre las normas ISO.</w:t>
      </w:r>
    </w:p>
    <w:bookmarkEnd w:id="26"/>
    <w:bookmarkStart w:id="27" w:name="referencias-normativas"/>
    <w:p>
      <w:pPr>
        <w:pStyle w:val="Heading2"/>
      </w:pPr>
      <w:r>
        <w:t xml:space="preserve">2 Referencias normativas</w:t>
      </w:r>
    </w:p>
    <w:p>
      <w:pPr>
        <w:pStyle w:val="FirstParagraph"/>
      </w:pPr>
      <w:r>
        <w:t xml:space="preserve">En este documento no hay referencias normativas.</w:t>
      </w:r>
    </w:p>
    <w:bookmarkEnd w:id="27"/>
    <w:bookmarkStart w:id="28" w:name="términos-y-definiciones"/>
    <w:p>
      <w:pPr>
        <w:pStyle w:val="Heading2"/>
      </w:pPr>
      <w:r>
        <w:t xml:space="preserve">3 Términos y definiciones</w:t>
      </w:r>
    </w:p>
    <w:p>
      <w:pPr>
        <w:pStyle w:val="FirstParagraph"/>
      </w:pPr>
      <w:r>
        <w:t xml:space="preserve">Para los fines de este documento, se aplican los siguientes términos y definiciones.</w:t>
      </w:r>
    </w:p>
    <w:p>
      <w:pPr>
        <w:pStyle w:val="BodyText"/>
      </w:pPr>
      <w:r>
        <w:t xml:space="preserve">ISO e IEC mantienen bases de datos terminológicas para su uso en normalización en las siguientes direcciones:</w:t>
      </w:r>
    </w:p>
    <w:p>
      <w:pPr>
        <w:pStyle w:val="BodyText"/>
      </w:pPr>
      <w:r>
        <w:t xml:space="preserve">— Plataforma de consulta en línea de ISO: disponible en http://www.iso.org/obp</w:t>
      </w:r>
      <w:r>
        <w:t xml:space="preserve"> </w:t>
      </w:r>
      <w:r>
        <w:t xml:space="preserve">— Electropedia de IEC: disponible en http://www.electropedia.org/</w:t>
      </w:r>
    </w:p>
    <w:p>
      <w:pPr>
        <w:pStyle w:val="BodyText"/>
      </w:pPr>
      <w:r>
        <w:rPr>
          <w:bCs/>
          <w:b/>
        </w:rPr>
        <w:t xml:space="preserve">3.1 acuerdo (agreement)</w:t>
      </w:r>
      <w:r>
        <w:t xml:space="preserve"> </w:t>
      </w:r>
      <w:r>
        <w:rPr>
          <w:iCs/>
          <w:i/>
        </w:rPr>
        <w:t xml:space="preserve">resultado</w:t>
      </w:r>
      <w:r>
        <w:t xml:space="preserve"> </w:t>
      </w:r>
      <w:r>
        <w:t xml:space="preserve">(3.15) formal y vinculante (preferiblemente documentado por escrito) de la fase de</w:t>
      </w:r>
      <w:r>
        <w:t xml:space="preserve"> </w:t>
      </w:r>
      <w:r>
        <w:rPr>
          <w:iCs/>
          <w:i/>
        </w:rPr>
        <w:t xml:space="preserve">contratación</w:t>
      </w:r>
      <w:r>
        <w:t xml:space="preserve"> </w:t>
      </w:r>
      <w:r>
        <w:t xml:space="preserve">(3.7)</w:t>
      </w:r>
    </w:p>
    <w:p>
      <w:pPr>
        <w:pStyle w:val="BodyText"/>
      </w:pPr>
      <w:r>
        <w:rPr>
          <w:bCs/>
          <w:b/>
        </w:rPr>
        <w:t xml:space="preserve">3.2 encargo (assignment)</w:t>
      </w:r>
      <w:r>
        <w:t xml:space="preserve"> </w:t>
      </w:r>
      <w:r>
        <w:t xml:space="preserve">servicio que debe prestar el</w:t>
      </w:r>
      <w:r>
        <w:t xml:space="preserve"> </w:t>
      </w:r>
      <w:r>
        <w:rPr>
          <w:iCs/>
          <w:i/>
        </w:rPr>
        <w:t xml:space="preserve">MCSP</w:t>
      </w:r>
      <w:r>
        <w:t xml:space="preserve"> </w:t>
      </w:r>
      <w:r>
        <w:t xml:space="preserve">(3.12) al</w:t>
      </w:r>
      <w:r>
        <w:t xml:space="preserve"> </w:t>
      </w:r>
      <w:r>
        <w:rPr>
          <w:iCs/>
          <w:i/>
        </w:rPr>
        <w:t xml:space="preserve">cliente</w:t>
      </w:r>
      <w:r>
        <w:t xml:space="preserve"> </w:t>
      </w:r>
      <w:r>
        <w:t xml:space="preserve">(3.4) y al</w:t>
      </w:r>
      <w:r>
        <w:t xml:space="preserve"> </w:t>
      </w:r>
      <w:r>
        <w:rPr>
          <w:iCs/>
          <w:i/>
        </w:rPr>
        <w:t xml:space="preserve">destinatario</w:t>
      </w:r>
      <w:r>
        <w:t xml:space="preserve"> </w:t>
      </w:r>
      <w:r>
        <w:t xml:space="preserve">(3.21), según se describe en el</w:t>
      </w:r>
      <w:r>
        <w:t xml:space="preserve"> </w:t>
      </w:r>
      <w:r>
        <w:rPr>
          <w:iCs/>
          <w:i/>
        </w:rPr>
        <w:t xml:space="preserve">acuerdo</w:t>
      </w:r>
      <w:r>
        <w:t xml:space="preserve"> </w:t>
      </w:r>
      <w:r>
        <w:t xml:space="preserve">(3.1)</w:t>
      </w:r>
    </w:p>
    <w:p>
      <w:pPr>
        <w:pStyle w:val="BodyText"/>
      </w:pPr>
      <w:r>
        <w:rPr>
          <w:iCs/>
          <w:i/>
        </w:rPr>
        <w:t xml:space="preserve">Nota 1 a la entrada:</w:t>
      </w:r>
      <w:r>
        <w:t xml:space="preserve"> </w:t>
      </w:r>
      <w:r>
        <w:t xml:space="preserve">Un encargo se realiza normalmente como un</w:t>
      </w:r>
      <w:r>
        <w:t xml:space="preserve"> </w:t>
      </w:r>
      <w:r>
        <w:rPr>
          <w:iCs/>
          <w:i/>
        </w:rPr>
        <w:t xml:space="preserve">proyecto</w:t>
      </w:r>
      <w:r>
        <w:t xml:space="preserve"> </w:t>
      </w:r>
      <w:r>
        <w:t xml:space="preserve">(3.18) por parte del</w:t>
      </w:r>
      <w:r>
        <w:t xml:space="preserve"> </w:t>
      </w:r>
      <w:r>
        <w:rPr>
          <w:iCs/>
          <w:i/>
        </w:rPr>
        <w:t xml:space="preserve">MCSP</w:t>
      </w:r>
      <w:r>
        <w:t xml:space="preserve"> </w:t>
      </w:r>
      <w:r>
        <w:t xml:space="preserve">(3.12). Pueden encontrarse otros formatos de encargo, como la prestación de apoyo continuo.</w:t>
      </w:r>
    </w:p>
    <w:p>
      <w:pPr>
        <w:pStyle w:val="BodyText"/>
      </w:pPr>
      <w:r>
        <w:rPr>
          <w:bCs/>
          <w:b/>
        </w:rPr>
        <w:t xml:space="preserve">3.3 capacidad (capability)</w:t>
      </w:r>
      <w:r>
        <w:t xml:space="preserve"> </w:t>
      </w:r>
      <w:r>
        <w:t xml:space="preserve">personal, contratistas, conocimientos, metodología, terceros, tecnología y otros</w:t>
      </w:r>
      <w:r>
        <w:t xml:space="preserve"> </w:t>
      </w:r>
      <w:r>
        <w:rPr>
          <w:iCs/>
          <w:i/>
        </w:rPr>
        <w:t xml:space="preserve">recursos</w:t>
      </w:r>
      <w:r>
        <w:t xml:space="preserve"> </w:t>
      </w:r>
      <w:r>
        <w:t xml:space="preserve">(3.23) o</w:t>
      </w:r>
      <w:r>
        <w:t xml:space="preserve"> </w:t>
      </w:r>
      <w:r>
        <w:rPr>
          <w:iCs/>
          <w:i/>
        </w:rPr>
        <w:t xml:space="preserve">procesos</w:t>
      </w:r>
      <w:r>
        <w:t xml:space="preserve"> </w:t>
      </w:r>
      <w:r>
        <w:t xml:space="preserve">(3.17) pertinentes</w:t>
      </w:r>
    </w:p>
    <w:p>
      <w:pPr>
        <w:pStyle w:val="BodyText"/>
      </w:pPr>
      <w:r>
        <w:rPr>
          <w:bCs/>
          <w:b/>
        </w:rPr>
        <w:t xml:space="preserve">3.4 cliente (client)</w:t>
      </w:r>
      <w:r>
        <w:t xml:space="preserve"> </w:t>
      </w:r>
      <w:r>
        <w:rPr>
          <w:iCs/>
          <w:i/>
        </w:rPr>
        <w:t xml:space="preserve">organización</w:t>
      </w:r>
      <w:r>
        <w:t xml:space="preserve"> </w:t>
      </w:r>
      <w:r>
        <w:t xml:space="preserve">(3.13) que acuerda los</w:t>
      </w:r>
      <w:r>
        <w:t xml:space="preserve"> </w:t>
      </w:r>
      <w:r>
        <w:rPr>
          <w:iCs/>
          <w:i/>
        </w:rPr>
        <w:t xml:space="preserve">servicios de consultoría en gestión</w:t>
      </w:r>
      <w:r>
        <w:t xml:space="preserve"> </w:t>
      </w:r>
      <w:r>
        <w:t xml:space="preserve">(3.11) suministrados por el</w:t>
      </w:r>
      <w:r>
        <w:t xml:space="preserve"> </w:t>
      </w:r>
      <w:r>
        <w:rPr>
          <w:iCs/>
          <w:i/>
        </w:rPr>
        <w:t xml:space="preserve">MCSP</w:t>
      </w:r>
      <w:r>
        <w:t xml:space="preserve"> </w:t>
      </w:r>
      <w:r>
        <w:t xml:space="preserve">(3.12)</w:t>
      </w:r>
    </w:p>
    <w:p>
      <w:pPr>
        <w:pStyle w:val="BodyText"/>
      </w:pPr>
      <w:r>
        <w:rPr>
          <w:bCs/>
          <w:b/>
        </w:rPr>
        <w:t xml:space="preserve">3.5 cierre (closure)</w:t>
      </w:r>
      <w:r>
        <w:t xml:space="preserve"> </w:t>
      </w:r>
      <w:r>
        <w:t xml:space="preserve">conjunto de actividades entre el</w:t>
      </w:r>
      <w:r>
        <w:t xml:space="preserve"> </w:t>
      </w:r>
      <w:r>
        <w:rPr>
          <w:iCs/>
          <w:i/>
        </w:rPr>
        <w:t xml:space="preserve">MCSP</w:t>
      </w:r>
      <w:r>
        <w:t xml:space="preserve"> </w:t>
      </w:r>
      <w:r>
        <w:t xml:space="preserve">(3.12), el</w:t>
      </w:r>
      <w:r>
        <w:t xml:space="preserve"> </w:t>
      </w:r>
      <w:r>
        <w:rPr>
          <w:iCs/>
          <w:i/>
        </w:rPr>
        <w:t xml:space="preserve">cliente</w:t>
      </w:r>
      <w:r>
        <w:t xml:space="preserve"> </w:t>
      </w:r>
      <w:r>
        <w:t xml:space="preserve">(3.4) y el</w:t>
      </w:r>
      <w:r>
        <w:t xml:space="preserve"> </w:t>
      </w:r>
      <w:r>
        <w:rPr>
          <w:iCs/>
          <w:i/>
        </w:rPr>
        <w:t xml:space="preserve">destinatario</w:t>
      </w:r>
      <w:r>
        <w:t xml:space="preserve"> </w:t>
      </w:r>
      <w:r>
        <w:t xml:space="preserve">(3.21) dirigidas a finalizar el</w:t>
      </w:r>
      <w:r>
        <w:t xml:space="preserve"> </w:t>
      </w:r>
      <w:r>
        <w:rPr>
          <w:iCs/>
          <w:i/>
        </w:rPr>
        <w:t xml:space="preserve">encargo</w:t>
      </w:r>
      <w:r>
        <w:t xml:space="preserve"> </w:t>
      </w:r>
      <w:r>
        <w:t xml:space="preserve">(3.2)</w:t>
      </w:r>
    </w:p>
    <w:p>
      <w:pPr>
        <w:pStyle w:val="BodyText"/>
      </w:pPr>
      <w:r>
        <w:rPr>
          <w:bCs/>
          <w:b/>
        </w:rPr>
        <w:t xml:space="preserve">3.6 comunicación (communication)</w:t>
      </w:r>
      <w:r>
        <w:t xml:space="preserve"> </w:t>
      </w:r>
      <w:r>
        <w:t xml:space="preserve">mantenimiento, entre el</w:t>
      </w:r>
      <w:r>
        <w:t xml:space="preserve"> </w:t>
      </w:r>
      <w:r>
        <w:rPr>
          <w:iCs/>
          <w:i/>
        </w:rPr>
        <w:t xml:space="preserve">MCSP</w:t>
      </w:r>
      <w:r>
        <w:t xml:space="preserve"> </w:t>
      </w:r>
      <w:r>
        <w:t xml:space="preserve">(3.12) y el</w:t>
      </w:r>
      <w:r>
        <w:t xml:space="preserve"> </w:t>
      </w:r>
      <w:r>
        <w:rPr>
          <w:iCs/>
          <w:i/>
        </w:rPr>
        <w:t xml:space="preserve">cliente</w:t>
      </w:r>
      <w:r>
        <w:t xml:space="preserve"> </w:t>
      </w:r>
      <w:r>
        <w:t xml:space="preserve">(3.4), de un flujo de información claro y sistemático</w:t>
      </w:r>
    </w:p>
    <w:p>
      <w:pPr>
        <w:pStyle w:val="BodyText"/>
      </w:pPr>
      <w:r>
        <w:rPr>
          <w:bCs/>
          <w:b/>
        </w:rPr>
        <w:t xml:space="preserve">3.7 contratación (contracting)</w:t>
      </w:r>
      <w:r>
        <w:t xml:space="preserve"> </w:t>
      </w:r>
      <w:r>
        <w:t xml:space="preserve">conjunto de actividades dirigidas a alcanzar un</w:t>
      </w:r>
      <w:r>
        <w:t xml:space="preserve"> </w:t>
      </w:r>
      <w:r>
        <w:rPr>
          <w:iCs/>
          <w:i/>
        </w:rPr>
        <w:t xml:space="preserve">acuerdo</w:t>
      </w:r>
      <w:r>
        <w:t xml:space="preserve"> </w:t>
      </w:r>
      <w:r>
        <w:t xml:space="preserve">(3.1) para prestar</w:t>
      </w:r>
      <w:r>
        <w:t xml:space="preserve"> </w:t>
      </w:r>
      <w:r>
        <w:rPr>
          <w:iCs/>
          <w:i/>
        </w:rPr>
        <w:t xml:space="preserve">MCS</w:t>
      </w:r>
      <w:r>
        <w:t xml:space="preserve"> </w:t>
      </w:r>
      <w:r>
        <w:t xml:space="preserve">(3.11)</w:t>
      </w:r>
    </w:p>
    <w:p>
      <w:pPr>
        <w:pStyle w:val="BodyText"/>
      </w:pPr>
      <w:r>
        <w:rPr>
          <w:bCs/>
          <w:b/>
        </w:rPr>
        <w:t xml:space="preserve">3.8 entregable (deliverable)</w:t>
      </w:r>
      <w:r>
        <w:t xml:space="preserve"> </w:t>
      </w:r>
      <w:r>
        <w:t xml:space="preserve">elemento tangible producido por el</w:t>
      </w:r>
      <w:r>
        <w:t xml:space="preserve"> </w:t>
      </w:r>
      <w:r>
        <w:rPr>
          <w:iCs/>
          <w:i/>
        </w:rPr>
        <w:t xml:space="preserve">MCSP</w:t>
      </w:r>
      <w:r>
        <w:t xml:space="preserve"> </w:t>
      </w:r>
      <w:r>
        <w:t xml:space="preserve">(3.12) como parte de un</w:t>
      </w:r>
      <w:r>
        <w:t xml:space="preserve"> </w:t>
      </w:r>
      <w:r>
        <w:rPr>
          <w:iCs/>
          <w:i/>
        </w:rPr>
        <w:t xml:space="preserve">encargo</w:t>
      </w:r>
      <w:r>
        <w:t xml:space="preserve"> </w:t>
      </w:r>
      <w:r>
        <w:t xml:space="preserve">(3.2)</w:t>
      </w:r>
    </w:p>
    <w:p>
      <w:pPr>
        <w:pStyle w:val="BodyText"/>
      </w:pPr>
      <w:r>
        <w:t xml:space="preserve">EJEMPLO: Un informe, un plan, un documento.</w:t>
      </w:r>
    </w:p>
    <w:p>
      <w:pPr>
        <w:pStyle w:val="BodyText"/>
      </w:pPr>
      <w:r>
        <w:rPr>
          <w:iCs/>
          <w:i/>
        </w:rPr>
        <w:t xml:space="preserve">Nota 1 a la entrada:</w:t>
      </w:r>
      <w:r>
        <w:t xml:space="preserve"> </w:t>
      </w:r>
      <w:r>
        <w:t xml:space="preserve">Se considera que «producto de salida» (output) es sinónimo de entregable.</w:t>
      </w:r>
    </w:p>
    <w:p>
      <w:pPr>
        <w:pStyle w:val="BodyText"/>
      </w:pPr>
      <w:r>
        <w:rPr>
          <w:bCs/>
          <w:b/>
        </w:rPr>
        <w:t xml:space="preserve">3.9 ejecución (execution)</w:t>
      </w:r>
      <w:r>
        <w:t xml:space="preserve"> </w:t>
      </w:r>
      <w:r>
        <w:t xml:space="preserve">realización del</w:t>
      </w:r>
      <w:r>
        <w:t xml:space="preserve"> </w:t>
      </w:r>
      <w:r>
        <w:rPr>
          <w:iCs/>
          <w:i/>
        </w:rPr>
        <w:t xml:space="preserve">servicio de consultoría en gestión</w:t>
      </w:r>
      <w:r>
        <w:t xml:space="preserve"> </w:t>
      </w:r>
      <w:r>
        <w:t xml:space="preserve">(3.11)</w:t>
      </w:r>
    </w:p>
    <w:p>
      <w:pPr>
        <w:pStyle w:val="BodyText"/>
      </w:pPr>
      <w:r>
        <w:rPr>
          <w:bCs/>
          <w:b/>
        </w:rPr>
        <w:t xml:space="preserve">3.10 propiedad intelectual (intellectual property)</w:t>
      </w:r>
      <w:r>
        <w:t xml:space="preserve"> </w:t>
      </w:r>
      <w:r>
        <w:t xml:space="preserve">cualquier producto identificable de la mente atribuible a una o varias personas o a una o más entidades jurídicas, que pueda representarse o comunicarse físicamente y esté protegido por derechos de autor o leyes similares</w:t>
      </w:r>
    </w:p>
    <w:p>
      <w:pPr>
        <w:pStyle w:val="BodyText"/>
      </w:pPr>
      <w:r>
        <w:t xml:space="preserve">[FUENTE: ISO/IEC 21000-19:2010, 3.1.28]</w:t>
      </w:r>
    </w:p>
    <w:p>
      <w:pPr>
        <w:pStyle w:val="BodyText"/>
      </w:pPr>
      <w:r>
        <w:rPr>
          <w:bCs/>
          <w:b/>
        </w:rPr>
        <w:t xml:space="preserve">3.11 servicio de consultoría en gestión (management consultancy service) / MCS / servicio</w:t>
      </w:r>
      <w:r>
        <w:t xml:space="preserve"> </w:t>
      </w:r>
      <w:r>
        <w:t xml:space="preserve">conjunto de actividades multidisciplinarias de trabajo intelectual, dentro del campo de la gestión, que tiene por objeto crear valor o promover cambios, mediante la prestación de asesoramiento y la propuesta de soluciones, la consideración de acciones o la producción de</w:t>
      </w:r>
      <w:r>
        <w:t xml:space="preserve"> </w:t>
      </w:r>
      <w:r>
        <w:rPr>
          <w:iCs/>
          <w:i/>
        </w:rPr>
        <w:t xml:space="preserve">entregables</w:t>
      </w:r>
      <w:r>
        <w:t xml:space="preserve"> </w:t>
      </w:r>
      <w:r>
        <w:t xml:space="preserve">(3.8)</w:t>
      </w:r>
    </w:p>
    <w:p>
      <w:pPr>
        <w:pStyle w:val="BodyText"/>
      </w:pPr>
      <w:r>
        <w:rPr>
          <w:bCs/>
          <w:b/>
        </w:rPr>
        <w:t xml:space="preserve">3.12 proveedor de servicios de consultoría en gestión (management consultancy service provider) / MCSP</w:t>
      </w:r>
      <w:r>
        <w:t xml:space="preserve"> </w:t>
      </w:r>
      <w:r>
        <w:rPr>
          <w:iCs/>
          <w:i/>
        </w:rPr>
        <w:t xml:space="preserve">organización</w:t>
      </w:r>
      <w:r>
        <w:t xml:space="preserve"> </w:t>
      </w:r>
      <w:r>
        <w:t xml:space="preserve">(3.13) que ofrece y presta</w:t>
      </w:r>
      <w:r>
        <w:t xml:space="preserve"> </w:t>
      </w:r>
      <w:r>
        <w:rPr>
          <w:iCs/>
          <w:i/>
        </w:rPr>
        <w:t xml:space="preserve">servicios de consultoría en gestión</w:t>
      </w:r>
      <w:r>
        <w:t xml:space="preserve"> </w:t>
      </w:r>
      <w:r>
        <w:t xml:space="preserve">(3.11)</w:t>
      </w:r>
    </w:p>
    <w:p>
      <w:pPr>
        <w:pStyle w:val="BodyText"/>
      </w:pPr>
      <w:r>
        <w:rPr>
          <w:iCs/>
          <w:i/>
        </w:rPr>
        <w:t xml:space="preserve">Nota 1 a la entrada:</w:t>
      </w:r>
      <w:r>
        <w:t xml:space="preserve"> </w:t>
      </w:r>
      <w:r>
        <w:t xml:space="preserve">Una organización que actúe como intermediario o como presentador (facilitador) de</w:t>
      </w:r>
      <w:r>
        <w:t xml:space="preserve"> </w:t>
      </w:r>
      <w:r>
        <w:rPr>
          <w:iCs/>
          <w:i/>
        </w:rPr>
        <w:t xml:space="preserve">MCS</w:t>
      </w:r>
      <w:r>
        <w:t xml:space="preserve"> </w:t>
      </w:r>
      <w:r>
        <w:t xml:space="preserve">(3.11), o que proporcione apoyo administrativo (p. ej., facturación, pago de salarios) a los MCSP, no se considera un MCSP.</w:t>
      </w:r>
    </w:p>
    <w:p>
      <w:pPr>
        <w:pStyle w:val="BodyText"/>
      </w:pPr>
      <w:r>
        <w:rPr>
          <w:bCs/>
          <w:b/>
        </w:rPr>
        <w:t xml:space="preserve">3.13 organización (organization)</w:t>
      </w:r>
      <w:r>
        <w:t xml:space="preserve"> </w:t>
      </w:r>
      <w:r>
        <w:t xml:space="preserve">persona o grupo de personas que tiene sus propias funciones con responsabilidades, autoridades, relaciones y</w:t>
      </w:r>
      <w:r>
        <w:t xml:space="preserve"> </w:t>
      </w:r>
      <w:r>
        <w:rPr>
          <w:iCs/>
          <w:i/>
        </w:rPr>
        <w:t xml:space="preserve">recursos</w:t>
      </w:r>
      <w:r>
        <w:t xml:space="preserve"> </w:t>
      </w:r>
      <w:r>
        <w:t xml:space="preserve">(3.23) para lograr sus objetivos</w:t>
      </w:r>
    </w:p>
    <w:p>
      <w:pPr>
        <w:pStyle w:val="BodyText"/>
      </w:pPr>
      <w:r>
        <w:rPr>
          <w:iCs/>
          <w:i/>
        </w:rPr>
        <w:t xml:space="preserve">Nota 1 a la entrada:</w:t>
      </w:r>
      <w:r>
        <w:t xml:space="preserve"> </w:t>
      </w:r>
      <w:r>
        <w:t xml:space="preserve">El concepto de organización incluye, entre otros, trabajador autónomo, compañía, corporación, firma, empresa, autoridad, sociedad, asociación, organización benéfica o institución, o una parte o combinación de ellas, ya estén constituidas o no, sean públicas o privadas.</w:t>
      </w:r>
    </w:p>
    <w:p>
      <w:pPr>
        <w:pStyle w:val="BodyText"/>
      </w:pPr>
      <w:r>
        <w:t xml:space="preserve">[FUENTE: ISO 9000:2015, 3.2.1]</w:t>
      </w:r>
    </w:p>
    <w:p>
      <w:pPr>
        <w:pStyle w:val="BodyText"/>
      </w:pPr>
      <w:r>
        <w:rPr>
          <w:bCs/>
          <w:b/>
        </w:rPr>
        <w:t xml:space="preserve">3.14 gobernanza organizacional (organizational governance)</w:t>
      </w:r>
      <w:r>
        <w:t xml:space="preserve"> </w:t>
      </w:r>
      <w:r>
        <w:t xml:space="preserve">sistema mediante el cual una</w:t>
      </w:r>
      <w:r>
        <w:t xml:space="preserve"> </w:t>
      </w:r>
      <w:r>
        <w:rPr>
          <w:iCs/>
          <w:i/>
        </w:rPr>
        <w:t xml:space="preserve">organización</w:t>
      </w:r>
      <w:r>
        <w:t xml:space="preserve"> </w:t>
      </w:r>
      <w:r>
        <w:t xml:space="preserve">(3.13) toma e implementa decisiones en la consecución de sus objetivos</w:t>
      </w:r>
    </w:p>
    <w:p>
      <w:pPr>
        <w:pStyle w:val="BodyText"/>
      </w:pPr>
      <w:r>
        <w:t xml:space="preserve">[FUENTE: ISO 26000:2010, 2.13]</w:t>
      </w:r>
    </w:p>
    <w:p>
      <w:pPr>
        <w:pStyle w:val="BodyText"/>
      </w:pPr>
      <w:r>
        <w:rPr>
          <w:bCs/>
          <w:b/>
        </w:rPr>
        <w:t xml:space="preserve">3.15 resultado (outcome)</w:t>
      </w:r>
      <w:r>
        <w:t xml:space="preserve"> </w:t>
      </w:r>
      <w:r>
        <w:t xml:space="preserve">impacto o consecuencia de una acción o de un</w:t>
      </w:r>
      <w:r>
        <w:t xml:space="preserve"> </w:t>
      </w:r>
      <w:r>
        <w:rPr>
          <w:iCs/>
          <w:i/>
        </w:rPr>
        <w:t xml:space="preserve">proceso</w:t>
      </w:r>
      <w:r>
        <w:t xml:space="preserve"> </w:t>
      </w:r>
      <w:r>
        <w:t xml:space="preserve">(3.17)</w:t>
      </w:r>
    </w:p>
    <w:p>
      <w:pPr>
        <w:pStyle w:val="BodyText"/>
      </w:pPr>
      <w:r>
        <w:t xml:space="preserve">EJEMPLO: Una mejora de la rentabilidad o del valor.</w:t>
      </w:r>
    </w:p>
    <w:p>
      <w:pPr>
        <w:pStyle w:val="BodyText"/>
      </w:pPr>
      <w:r>
        <w:rPr>
          <w:bCs/>
          <w:b/>
        </w:rPr>
        <w:t xml:space="preserve">3.16 política (policy)</w:t>
      </w:r>
      <w:r>
        <w:t xml:space="preserve"> </w:t>
      </w:r>
      <w:r>
        <w:t xml:space="preserve">intenciones y dirección de una</w:t>
      </w:r>
      <w:r>
        <w:t xml:space="preserve"> </w:t>
      </w:r>
      <w:r>
        <w:rPr>
          <w:iCs/>
          <w:i/>
        </w:rPr>
        <w:t xml:space="preserve">organización</w:t>
      </w:r>
      <w:r>
        <w:t xml:space="preserve"> </w:t>
      </w:r>
      <w:r>
        <w:t xml:space="preserve">(3.13), como las expresa formalmente su alta dirección</w:t>
      </w:r>
    </w:p>
    <w:p>
      <w:pPr>
        <w:pStyle w:val="BodyText"/>
      </w:pPr>
      <w:r>
        <w:t xml:space="preserve">[FUENTE: ISO 9000:2015, 3.5.8]</w:t>
      </w:r>
    </w:p>
    <w:p>
      <w:pPr>
        <w:pStyle w:val="BodyText"/>
      </w:pPr>
      <w:r>
        <w:rPr>
          <w:bCs/>
          <w:b/>
        </w:rPr>
        <w:t xml:space="preserve">3.17 proceso (process)</w:t>
      </w:r>
      <w:r>
        <w:t xml:space="preserve"> </w:t>
      </w:r>
      <w:r>
        <w:t xml:space="preserve">conjunto de actividades interrelacionadas o que interactúan, que utilizan entradas para proporcionar un resultado previsto</w:t>
      </w:r>
    </w:p>
    <w:p>
      <w:pPr>
        <w:pStyle w:val="BodyText"/>
      </w:pPr>
      <w:r>
        <w:rPr>
          <w:iCs/>
          <w:i/>
        </w:rPr>
        <w:t xml:space="preserve">Nota 1 a la entrada:</w:t>
      </w:r>
      <w:r>
        <w:t xml:space="preserve"> </w:t>
      </w:r>
      <w:r>
        <w:t xml:space="preserve">Que el «resultado previsto» de un proceso se denomine salida (3.8), producto o servicio (3.11) depende del contexto de la referencia.</w:t>
      </w:r>
    </w:p>
    <w:p>
      <w:pPr>
        <w:pStyle w:val="BodyText"/>
      </w:pPr>
      <w:r>
        <w:rPr>
          <w:iCs/>
          <w:i/>
        </w:rPr>
        <w:t xml:space="preserve">Nota 2 a la entrada:</w:t>
      </w:r>
      <w:r>
        <w:t xml:space="preserve"> </w:t>
      </w:r>
      <w:r>
        <w:t xml:space="preserve">Los procesos de una</w:t>
      </w:r>
      <w:r>
        <w:t xml:space="preserve"> </w:t>
      </w:r>
      <w:r>
        <w:rPr>
          <w:iCs/>
          <w:i/>
        </w:rPr>
        <w:t xml:space="preserve">organización</w:t>
      </w:r>
      <w:r>
        <w:t xml:space="preserve"> </w:t>
      </w:r>
      <w:r>
        <w:t xml:space="preserve">(3.13) se planifican y se llevan a cabo generalmente en condiciones controladas para aportar valor.</w:t>
      </w:r>
    </w:p>
    <w:p>
      <w:pPr>
        <w:pStyle w:val="BodyText"/>
      </w:pPr>
      <w:r>
        <w:t xml:space="preserve">[FUENTE: ISO 9000:2015, 3.4.1]</w:t>
      </w:r>
    </w:p>
    <w:p>
      <w:pPr>
        <w:pStyle w:val="BodyText"/>
      </w:pPr>
      <w:r>
        <w:rPr>
          <w:bCs/>
          <w:b/>
        </w:rPr>
        <w:t xml:space="preserve">3.18 proyecto (project)</w:t>
      </w:r>
      <w:r>
        <w:t xml:space="preserve"> </w:t>
      </w:r>
      <w:r>
        <w:rPr>
          <w:iCs/>
          <w:i/>
        </w:rPr>
        <w:t xml:space="preserve">proceso</w:t>
      </w:r>
      <w:r>
        <w:t xml:space="preserve"> </w:t>
      </w:r>
      <w:r>
        <w:t xml:space="preserve">(3.17) único, que consiste en un conjunto de actividades coordinadas y controladas con fechas de inicio y de finalización, llevado a cabo para lograr un objetivo conforme con</w:t>
      </w:r>
      <w:r>
        <w:t xml:space="preserve"> </w:t>
      </w:r>
      <w:r>
        <w:rPr>
          <w:iCs/>
          <w:i/>
        </w:rPr>
        <w:t xml:space="preserve">requisitos</w:t>
      </w:r>
      <w:r>
        <w:t xml:space="preserve"> </w:t>
      </w:r>
      <w:r>
        <w:t xml:space="preserve">(3.22) específicos, incluyendo las limitaciones de tiempo, costo y</w:t>
      </w:r>
      <w:r>
        <w:t xml:space="preserve"> </w:t>
      </w:r>
      <w:r>
        <w:rPr>
          <w:iCs/>
          <w:i/>
        </w:rPr>
        <w:t xml:space="preserve">recursos</w:t>
      </w:r>
      <w:r>
        <w:t xml:space="preserve"> </w:t>
      </w:r>
      <w:r>
        <w:t xml:space="preserve">(3.23)</w:t>
      </w:r>
    </w:p>
    <w:p>
      <w:pPr>
        <w:pStyle w:val="BodyText"/>
      </w:pPr>
      <w:r>
        <w:t xml:space="preserve">[FUENTE: ISO 9000:2015, 3.4.2]</w:t>
      </w:r>
    </w:p>
    <w:p>
      <w:pPr>
        <w:pStyle w:val="BodyText"/>
      </w:pPr>
      <w:r>
        <w:rPr>
          <w:bCs/>
          <w:b/>
        </w:rPr>
        <w:t xml:space="preserve">3.19 gobernanza del proyecto (project governance)</w:t>
      </w:r>
      <w:r>
        <w:t xml:space="preserve"> </w:t>
      </w:r>
      <w:r>
        <w:t xml:space="preserve">sistema mediante el cual una</w:t>
      </w:r>
      <w:r>
        <w:t xml:space="preserve"> </w:t>
      </w:r>
      <w:r>
        <w:rPr>
          <w:iCs/>
          <w:i/>
        </w:rPr>
        <w:t xml:space="preserve">organización</w:t>
      </w:r>
      <w:r>
        <w:t xml:space="preserve"> </w:t>
      </w:r>
      <w:r>
        <w:t xml:space="preserve">(3.13) toma e implementa decisiones en relación con los proyectos</w:t>
      </w:r>
    </w:p>
    <w:p>
      <w:pPr>
        <w:pStyle w:val="BodyText"/>
      </w:pPr>
      <w:r>
        <w:rPr>
          <w:bCs/>
          <w:b/>
        </w:rPr>
        <w:t xml:space="preserve">3.20 gestión de proyectos (project management)</w:t>
      </w:r>
      <w:r>
        <w:t xml:space="preserve"> </w:t>
      </w:r>
      <w:r>
        <w:t xml:space="preserve">dirección del</w:t>
      </w:r>
      <w:r>
        <w:t xml:space="preserve"> </w:t>
      </w:r>
      <w:r>
        <w:rPr>
          <w:iCs/>
          <w:i/>
        </w:rPr>
        <w:t xml:space="preserve">proyecto</w:t>
      </w:r>
      <w:r>
        <w:t xml:space="preserve"> </w:t>
      </w:r>
      <w:r>
        <w:t xml:space="preserve">(3.18) bajo la autoridad de la</w:t>
      </w:r>
      <w:r>
        <w:t xml:space="preserve"> </w:t>
      </w:r>
      <w:r>
        <w:rPr>
          <w:iCs/>
          <w:i/>
        </w:rPr>
        <w:t xml:space="preserve">gobernanza del proyecto</w:t>
      </w:r>
      <w:r>
        <w:t xml:space="preserve"> </w:t>
      </w:r>
      <w:r>
        <w:t xml:space="preserve">(3.19)</w:t>
      </w:r>
    </w:p>
    <w:p>
      <w:pPr>
        <w:pStyle w:val="BodyText"/>
      </w:pPr>
      <w:r>
        <w:rPr>
          <w:iCs/>
          <w:i/>
        </w:rPr>
        <w:t xml:space="preserve">Nota 1 a la entrada:</w:t>
      </w:r>
      <w:r>
        <w:t xml:space="preserve"> </w:t>
      </w:r>
      <w:r>
        <w:t xml:space="preserve">La gestión de proyectos es la aplicación de métodos, herramientas, técnicas y recursos a la gestión de un proyecto e incluye la integración de las diversas fases del ciclo de vida del proyecto. La gestión de proyectos se lleva a cabo mediante procesos.</w:t>
      </w:r>
    </w:p>
    <w:p>
      <w:pPr>
        <w:pStyle w:val="BodyText"/>
      </w:pPr>
      <w:r>
        <w:rPr>
          <w:bCs/>
          <w:b/>
        </w:rPr>
        <w:t xml:space="preserve">3.21 destinatario (recipient)</w:t>
      </w:r>
      <w:r>
        <w:t xml:space="preserve"> </w:t>
      </w:r>
      <w:r>
        <w:rPr>
          <w:iCs/>
          <w:i/>
        </w:rPr>
        <w:t xml:space="preserve">organización</w:t>
      </w:r>
      <w:r>
        <w:t xml:space="preserve"> </w:t>
      </w:r>
      <w:r>
        <w:t xml:space="preserve">(3.13) que recibe el</w:t>
      </w:r>
      <w:r>
        <w:t xml:space="preserve"> </w:t>
      </w:r>
      <w:r>
        <w:rPr>
          <w:iCs/>
          <w:i/>
        </w:rPr>
        <w:t xml:space="preserve">MCS</w:t>
      </w:r>
      <w:r>
        <w:t xml:space="preserve"> </w:t>
      </w:r>
      <w:r>
        <w:t xml:space="preserve">(3.11) acordado por el</w:t>
      </w:r>
      <w:r>
        <w:t xml:space="preserve"> </w:t>
      </w:r>
      <w:r>
        <w:rPr>
          <w:iCs/>
          <w:i/>
        </w:rPr>
        <w:t xml:space="preserve">cliente</w:t>
      </w:r>
      <w:r>
        <w:t xml:space="preserve"> </w:t>
      </w:r>
      <w:r>
        <w:t xml:space="preserve">(3.4)</w:t>
      </w:r>
    </w:p>
    <w:p>
      <w:pPr>
        <w:pStyle w:val="BodyText"/>
      </w:pPr>
      <w:r>
        <w:rPr>
          <w:iCs/>
          <w:i/>
        </w:rPr>
        <w:t xml:space="preserve">Nota 1 a la entrada:</w:t>
      </w:r>
      <w:r>
        <w:t xml:space="preserve"> </w:t>
      </w:r>
      <w:r>
        <w:t xml:space="preserve">A menudo el destinatario es el cliente.</w:t>
      </w:r>
    </w:p>
    <w:p>
      <w:pPr>
        <w:pStyle w:val="BodyText"/>
      </w:pPr>
      <w:r>
        <w:rPr>
          <w:bCs/>
          <w:b/>
        </w:rPr>
        <w:t xml:space="preserve">3.22 requisito (requirement)</w:t>
      </w:r>
      <w:r>
        <w:t xml:space="preserve"> </w:t>
      </w:r>
      <w:r>
        <w:t xml:space="preserve">necesidad o expectativa establecida, generalmente implícita u obligatoria</w:t>
      </w:r>
    </w:p>
    <w:p>
      <w:pPr>
        <w:pStyle w:val="BodyText"/>
      </w:pPr>
      <w:r>
        <w:rPr>
          <w:iCs/>
          <w:i/>
        </w:rPr>
        <w:t xml:space="preserve">Nota 1 a la entrada:</w:t>
      </w:r>
      <w:r>
        <w:t xml:space="preserve"> </w:t>
      </w:r>
      <w:r>
        <w:t xml:space="preserve">«Generalmente implícita» significa que es habitual o una práctica común para la</w:t>
      </w:r>
      <w:r>
        <w:t xml:space="preserve"> </w:t>
      </w:r>
      <w:r>
        <w:rPr>
          <w:iCs/>
          <w:i/>
        </w:rPr>
        <w:t xml:space="preserve">organización</w:t>
      </w:r>
      <w:r>
        <w:t xml:space="preserve"> </w:t>
      </w:r>
      <w:r>
        <w:t xml:space="preserve">(3.13), sus clientes y otras partes interesadas, que la necesidad o expectativa bajo consideración esté implícita.</w:t>
      </w:r>
    </w:p>
    <w:p>
      <w:pPr>
        <w:pStyle w:val="BodyText"/>
      </w:pPr>
      <w:r>
        <w:t xml:space="preserve">[FUENTE: ISO 9000:2015, 3.6.4]</w:t>
      </w:r>
    </w:p>
    <w:p>
      <w:pPr>
        <w:pStyle w:val="BodyText"/>
      </w:pPr>
      <w:r>
        <w:rPr>
          <w:bCs/>
          <w:b/>
        </w:rPr>
        <w:t xml:space="preserve">3.23 recursos (resources)</w:t>
      </w:r>
      <w:r>
        <w:t xml:space="preserve"> </w:t>
      </w:r>
      <w:r>
        <w:t xml:space="preserve">activos, personas, habilidades, información, tecnología (incluidas instalaciones y equipos), locales, suministros e información (ya sea electrónica o no) que una</w:t>
      </w:r>
      <w:r>
        <w:t xml:space="preserve"> </w:t>
      </w:r>
      <w:r>
        <w:rPr>
          <w:iCs/>
          <w:i/>
        </w:rPr>
        <w:t xml:space="preserve">organización</w:t>
      </w:r>
      <w:r>
        <w:t xml:space="preserve"> </w:t>
      </w:r>
      <w:r>
        <w:t xml:space="preserve">(3.13) tiene disponibles para usar, cuando sea necesario, con el fin de operar y alcanzar sus objetivos</w:t>
      </w:r>
    </w:p>
    <w:p>
      <w:pPr>
        <w:pStyle w:val="BodyText"/>
      </w:pPr>
      <w:r>
        <w:t xml:space="preserve">[FUENTE: ISO 22301:2012, 3.47]</w:t>
      </w:r>
    </w:p>
    <w:p>
      <w:pPr>
        <w:pStyle w:val="BodyText"/>
      </w:pPr>
      <w:r>
        <w:rPr>
          <w:bCs/>
          <w:b/>
        </w:rPr>
        <w:t xml:space="preserve">3.24 riesgo (risk)</w:t>
      </w:r>
      <w:r>
        <w:t xml:space="preserve"> </w:t>
      </w:r>
      <w:r>
        <w:t xml:space="preserve">efecto de la incertidumbre sobre los objetivos</w:t>
      </w:r>
    </w:p>
    <w:p>
      <w:pPr>
        <w:pStyle w:val="BodyText"/>
      </w:pPr>
      <w:r>
        <w:rPr>
          <w:iCs/>
          <w:i/>
        </w:rPr>
        <w:t xml:space="preserve">Nota 1 a la entrada:</w:t>
      </w:r>
      <w:r>
        <w:t xml:space="preserve"> </w:t>
      </w:r>
      <w:r>
        <w:t xml:space="preserve">Un efecto es una desviación de lo esperado, positiva o negativa.</w:t>
      </w:r>
    </w:p>
    <w:p>
      <w:pPr>
        <w:pStyle w:val="BodyText"/>
      </w:pPr>
      <w:r>
        <w:rPr>
          <w:iCs/>
          <w:i/>
        </w:rPr>
        <w:t xml:space="preserve">Nota 2 a la entrada:</w:t>
      </w:r>
      <w:r>
        <w:t xml:space="preserve"> </w:t>
      </w:r>
      <w:r>
        <w:t xml:space="preserve">Los objetivos pueden tener diferentes aspectos (tales como finanzas, salud y seguridad, seguridad física y medio ambiente) y pueden aplicarse a diferentes niveles (tales como estratégico, de toda la organización, de proyecto, de producto y de proceso).</w:t>
      </w:r>
    </w:p>
    <w:p>
      <w:pPr>
        <w:pStyle w:val="BodyText"/>
      </w:pPr>
      <w:r>
        <w:rPr>
          <w:iCs/>
          <w:i/>
        </w:rPr>
        <w:t xml:space="preserve">Nota 3 a la entrada:</w:t>
      </w:r>
      <w:r>
        <w:t xml:space="preserve"> </w:t>
      </w:r>
      <w:r>
        <w:t xml:space="preserve">El riesgo se caracteriza a menudo por referencia a eventos potenciales y consecuencias, o a una combinación de ambos.</w:t>
      </w:r>
    </w:p>
    <w:p>
      <w:pPr>
        <w:pStyle w:val="BodyText"/>
      </w:pPr>
      <w:r>
        <w:rPr>
          <w:iCs/>
          <w:i/>
        </w:rPr>
        <w:t xml:space="preserve">Nota 4 a la entrada:</w:t>
      </w:r>
      <w:r>
        <w:t xml:space="preserve"> </w:t>
      </w:r>
      <w:r>
        <w:t xml:space="preserve">El riesgo se expresa a menudo en términos de una combinación de las consecuencias de un evento (incluidos los cambios en las circunstancias) y la probabilidad asociada de que ocurra.</w:t>
      </w:r>
    </w:p>
    <w:p>
      <w:pPr>
        <w:pStyle w:val="BodyText"/>
      </w:pPr>
      <w:r>
        <w:rPr>
          <w:iCs/>
          <w:i/>
        </w:rPr>
        <w:t xml:space="preserve">Nota 5 a la entrada:</w:t>
      </w:r>
      <w:r>
        <w:t xml:space="preserve"> </w:t>
      </w:r>
      <w:r>
        <w:t xml:space="preserve">La incertidumbre es el estado, incluso parcial, de deficiencia de información relacionada con la comprensión o el conocimiento de un evento, su consecuencia o su probabilidad.</w:t>
      </w:r>
    </w:p>
    <w:p>
      <w:pPr>
        <w:pStyle w:val="BodyText"/>
      </w:pPr>
      <w:r>
        <w:t xml:space="preserve">[FUENTE: ISO Guide 73:2009, 1.1]</w:t>
      </w:r>
    </w:p>
    <w:p>
      <w:pPr>
        <w:pStyle w:val="BodyText"/>
      </w:pPr>
      <w:r>
        <w:rPr>
          <w:bCs/>
          <w:b/>
        </w:rPr>
        <w:t xml:space="preserve">3.25 parte interesada (stakeholder)</w:t>
      </w:r>
      <w:r>
        <w:t xml:space="preserve"> </w:t>
      </w:r>
      <w:r>
        <w:t xml:space="preserve">persona, grupo u</w:t>
      </w:r>
      <w:r>
        <w:t xml:space="preserve"> </w:t>
      </w:r>
      <w:r>
        <w:rPr>
          <w:iCs/>
          <w:i/>
        </w:rPr>
        <w:t xml:space="preserve">organización</w:t>
      </w:r>
      <w:r>
        <w:t xml:space="preserve"> </w:t>
      </w:r>
      <w:r>
        <w:t xml:space="preserve">(3.13) que tiene intereses en cualquier aspecto del</w:t>
      </w:r>
      <w:r>
        <w:t xml:space="preserve"> </w:t>
      </w:r>
      <w:r>
        <w:rPr>
          <w:iCs/>
          <w:i/>
        </w:rPr>
        <w:t xml:space="preserve">encargo</w:t>
      </w:r>
      <w:r>
        <w:t xml:space="preserve"> </w:t>
      </w:r>
      <w:r>
        <w:t xml:space="preserve">(3.2), o que puede afectarlo, ser afectado por él o percibirse como afectado por él</w:t>
      </w:r>
    </w:p>
    <w:p>
      <w:pPr>
        <w:pStyle w:val="BodyText"/>
      </w:pPr>
      <w:r>
        <w:rPr>
          <w:iCs/>
          <w:i/>
        </w:rPr>
        <w:t xml:space="preserve">Nota 1 a la entrada:</w:t>
      </w:r>
      <w:r>
        <w:t xml:space="preserve"> </w:t>
      </w:r>
      <w:r>
        <w:t xml:space="preserve">Véase el Anexo B para ejemplos de partes interesadas típicas.</w:t>
      </w:r>
    </w:p>
    <w:p>
      <w:pPr>
        <w:pStyle w:val="BodyText"/>
      </w:pPr>
      <w:r>
        <w:t xml:space="preserve">[FUENTE: ISO 21500:2012, 2.14, modificada]</w:t>
      </w:r>
    </w:p>
    <w:bookmarkEnd w:id="28"/>
    <w:bookmarkStart w:id="48" w:name="principios"/>
    <w:p>
      <w:pPr>
        <w:pStyle w:val="Heading2"/>
      </w:pPr>
      <w:r>
        <w:t xml:space="preserve">4 Principios</w:t>
      </w:r>
    </w:p>
    <w:bookmarkStart w:id="32" w:name="generalidades"/>
    <w:p>
      <w:pPr>
        <w:pStyle w:val="Heading3"/>
      </w:pPr>
      <w:r>
        <w:t xml:space="preserve">4.1 Generalidades</w:t>
      </w:r>
    </w:p>
    <w:bookmarkStart w:id="29" w:name="alcance-1"/>
    <w:p>
      <w:pPr>
        <w:pStyle w:val="Heading4"/>
      </w:pPr>
      <w:r>
        <w:t xml:space="preserve">4.1.1 Alcance</w:t>
      </w:r>
    </w:p>
    <w:p>
      <w:pPr>
        <w:pStyle w:val="FirstParagraph"/>
      </w:pPr>
      <w:r>
        <w:t xml:space="preserve">Durante un encargo típico, el MCSP, el cliente y el destinatario emprenden conjuntamente tres actividades, descritas a continuación como el «proceso típico de consultoría».</w:t>
      </w:r>
    </w:p>
    <w:p>
      <w:pPr>
        <w:pStyle w:val="BodyText"/>
      </w:pPr>
      <w:r>
        <w:t xml:space="preserve">Este documento se aplica a esas actividades.</w:t>
      </w:r>
    </w:p>
    <w:p>
      <w:pPr>
        <w:pStyle w:val="BodyText"/>
      </w:pPr>
      <w:r>
        <w:t xml:space="preserve">Este proceso de consultoría tiene un comienzo y un final, como se describe a continuación.</w:t>
      </w:r>
    </w:p>
    <w:bookmarkEnd w:id="29"/>
    <w:bookmarkStart w:id="30" w:name="proceso-típico-de-consultoría"/>
    <w:p>
      <w:pPr>
        <w:pStyle w:val="Heading4"/>
      </w:pPr>
      <w:r>
        <w:t xml:space="preserve">4.1.2 Proceso típico de consultoría</w:t>
      </w:r>
    </w:p>
    <w:p>
      <w:pPr>
        <w:pStyle w:val="FirstParagraph"/>
      </w:pPr>
      <w:r>
        <w:t xml:space="preserve">El proceso de consultoría incluye tres actividades típicas: contratación, ejecución y cierre, que se describen en d), e) y f) de la estructura básica de la consultoría esbozada en el Anexo C.</w:t>
      </w:r>
    </w:p>
    <w:p>
      <w:pPr>
        <w:pStyle w:val="BodyText"/>
      </w:pPr>
      <w:r>
        <w:t xml:space="preserve">—</w:t>
      </w:r>
      <w:r>
        <w:t xml:space="preserve"> </w:t>
      </w:r>
      <w:r>
        <w:rPr>
          <w:bCs/>
          <w:b/>
        </w:rPr>
        <w:t xml:space="preserve">Contratación</w:t>
      </w:r>
    </w:p>
    <w:p>
      <w:pPr>
        <w:pStyle w:val="BodyText"/>
      </w:pPr>
      <w:r>
        <w:t xml:space="preserve">El cliente y el MCSP alcanzan un acuerdo claro sobre el alcance y el enfoque del servicio que se prestará y se comprometen a trabajar juntos.</w:t>
      </w:r>
    </w:p>
    <w:p>
      <w:pPr>
        <w:pStyle w:val="BodyText"/>
      </w:pPr>
      <w:r>
        <w:t xml:space="preserve">Esta actividad comienza una vez que el cliente y el MCSP han llegado a comprender a la otra parte.</w:t>
      </w:r>
    </w:p>
    <w:p>
      <w:pPr>
        <w:pStyle w:val="BodyText"/>
      </w:pPr>
      <w:r>
        <w:t xml:space="preserve">La Cláusula 5 ofrece orientación para la contratación.</w:t>
      </w:r>
    </w:p>
    <w:p>
      <w:pPr>
        <w:pStyle w:val="BodyText"/>
      </w:pPr>
      <w:r>
        <w:t xml:space="preserve">—</w:t>
      </w:r>
      <w:r>
        <w:t xml:space="preserve"> </w:t>
      </w:r>
      <w:r>
        <w:rPr>
          <w:bCs/>
          <w:b/>
        </w:rPr>
        <w:t xml:space="preserve">Ejecución</w:t>
      </w:r>
    </w:p>
    <w:p>
      <w:pPr>
        <w:pStyle w:val="BodyText"/>
      </w:pPr>
      <w:r>
        <w:t xml:space="preserve">Una vez alcanzado el acuerdo, la siguiente parte del encargo es la ejecución.</w:t>
      </w:r>
    </w:p>
    <w:p>
      <w:pPr>
        <w:pStyle w:val="BodyText"/>
      </w:pPr>
      <w:r>
        <w:t xml:space="preserve">El MCSP presta el servicio de acuerdo con el enfoque y el plan acordados. El MCSP y el cliente necesitan colaborar con confianza, equidad y respeto mutuo para lograr un resultado mutuamente positivo.</w:t>
      </w:r>
    </w:p>
    <w:p>
      <w:pPr>
        <w:pStyle w:val="BodyText"/>
      </w:pPr>
      <w:r>
        <w:t xml:space="preserve">La Cláusula 6 ofrece orientación para la ejecución.</w:t>
      </w:r>
    </w:p>
    <w:p>
      <w:pPr>
        <w:pStyle w:val="BodyText"/>
      </w:pPr>
      <w:r>
        <w:t xml:space="preserve">—</w:t>
      </w:r>
      <w:r>
        <w:t xml:space="preserve"> </w:t>
      </w:r>
      <w:r>
        <w:rPr>
          <w:bCs/>
          <w:b/>
        </w:rPr>
        <w:t xml:space="preserve">Cierre</w:t>
      </w:r>
    </w:p>
    <w:p>
      <w:pPr>
        <w:pStyle w:val="BodyText"/>
      </w:pPr>
      <w:r>
        <w:t xml:space="preserve">La etapa final del encargo es el cierre.</w:t>
      </w:r>
    </w:p>
    <w:p>
      <w:pPr>
        <w:pStyle w:val="BodyText"/>
      </w:pPr>
      <w:r>
        <w:t xml:space="preserve">Tras la finalización del encargo, incluida la entrega de todos los entregables y la evaluación de los resultados, el encargo se «cierra» resolviendo cualquier asunto inconcluso y cumpliendo todas las obligaciones contractuales y legales.</w:t>
      </w:r>
    </w:p>
    <w:p>
      <w:pPr>
        <w:pStyle w:val="BodyText"/>
      </w:pPr>
      <w:r>
        <w:t xml:space="preserve">Es fundamental que el MCSP obtenga del cliente la aceptación de que el encargo está completo.</w:t>
      </w:r>
    </w:p>
    <w:p>
      <w:pPr>
        <w:pStyle w:val="BodyText"/>
      </w:pPr>
      <w:r>
        <w:t xml:space="preserve">La Cláusula 7 ofrece orientación para el cierre.</w:t>
      </w:r>
    </w:p>
    <w:p>
      <w:pPr>
        <w:pStyle w:val="BodyText"/>
      </w:pPr>
      <w:r>
        <w:t xml:space="preserve">NOTA — Véase el Anexo C para la estructura básica de las actividades de consultoría.</w:t>
      </w:r>
    </w:p>
    <w:bookmarkEnd w:id="30"/>
    <w:bookmarkStart w:id="31" w:name="responsabilidades"/>
    <w:p>
      <w:pPr>
        <w:pStyle w:val="Heading4"/>
      </w:pPr>
      <w:r>
        <w:t xml:space="preserve">4.1.3 Responsabilidades</w:t>
      </w:r>
    </w:p>
    <w:p>
      <w:pPr>
        <w:pStyle w:val="FirstParagraph"/>
      </w:pPr>
      <w:r>
        <w:t xml:space="preserve">El MCSP es responsable de sus recursos y de su trabajo; sin embargo, la responsabilidad última por las decisiones, los resultados, los entregables y los impactos sobre las partes interesadas recae en el cliente.</w:t>
      </w:r>
    </w:p>
    <w:p>
      <w:pPr>
        <w:pStyle w:val="BodyText"/>
      </w:pPr>
      <w:r>
        <w:t xml:space="preserve">NOTA — Si se especifica en el acuerdo, el MCSP también podría ser responsable y rendir cuentas por resultados, entregables o impactos sobre partes interesadas distintas del cliente y del destinatario del MCS.</w:t>
      </w:r>
    </w:p>
    <w:bookmarkEnd w:id="31"/>
    <w:bookmarkEnd w:id="32"/>
    <w:bookmarkStart w:id="33" w:name="otras-normas"/>
    <w:p>
      <w:pPr>
        <w:pStyle w:val="Heading3"/>
      </w:pPr>
      <w:r>
        <w:t xml:space="preserve">4.2 Otras normas</w:t>
      </w:r>
    </w:p>
    <w:p>
      <w:pPr>
        <w:pStyle w:val="FirstParagraph"/>
      </w:pPr>
      <w:r>
        <w:t xml:space="preserve">Para prestar eficazmente servicios de consultoría en gestión, el MCSP debería considerar la orientación proporcionada por otras normas y estándares nacionales e internacionales pertinentes para las partes interesadas en el encargo. Algunas normas relevantes incluyen las relativas a gestión de proyectos, comportamiento ético, gestión de riesgos, continuidad del negocio, gestión de la calidad, seguridad y sostenibilidad.</w:t>
      </w:r>
    </w:p>
    <w:bookmarkEnd w:id="33"/>
    <w:bookmarkStart w:id="34" w:name="evaluación-y-mejora-continuas"/>
    <w:p>
      <w:pPr>
        <w:pStyle w:val="Heading3"/>
      </w:pPr>
      <w:r>
        <w:t xml:space="preserve">4.3 Evaluación y mejora continuas</w:t>
      </w:r>
    </w:p>
    <w:p>
      <w:pPr>
        <w:pStyle w:val="FirstParagraph"/>
      </w:pPr>
      <w:r>
        <w:t xml:space="preserve">El propósito de la evaluación es que el MCSP valore y determine la eficacia del encargo.</w:t>
      </w:r>
    </w:p>
    <w:p>
      <w:pPr>
        <w:pStyle w:val="BodyText"/>
      </w:pPr>
      <w:r>
        <w:t xml:space="preserve">La evaluación también permite al cliente y al MCSP:</w:t>
      </w:r>
    </w:p>
    <w:p>
      <w:pPr>
        <w:pStyle w:val="BodyText"/>
      </w:pPr>
      <w:r>
        <w:t xml:space="preserve">— diagnosticar la eficacia del encargo;</w:t>
      </w:r>
      <w:r>
        <w:t xml:space="preserve"> </w:t>
      </w:r>
      <w:r>
        <w:t xml:space="preserve">— formular recomendaciones de acciones correctivas;</w:t>
      </w:r>
      <w:r>
        <w:t xml:space="preserve"> </w:t>
      </w:r>
      <w:r>
        <w:t xml:space="preserve">— implementar nuevos procesos y métodos;</w:t>
      </w:r>
      <w:r>
        <w:t xml:space="preserve"> </w:t>
      </w:r>
      <w:r>
        <w:t xml:space="preserve">— proporcionarse y recibir retroalimentación mutuamente;</w:t>
      </w:r>
      <w:r>
        <w:t xml:space="preserve"> </w:t>
      </w:r>
      <w:r>
        <w:t xml:space="preserve">— evaluar el valor añadido.</w:t>
      </w:r>
    </w:p>
    <w:p>
      <w:pPr>
        <w:pStyle w:val="BodyText"/>
      </w:pPr>
      <w:r>
        <w:t xml:space="preserve">El MCSP y el cliente deberían acordar una metodología adecuada para la evaluación continua y la retroalimentación durante todo el encargo.</w:t>
      </w:r>
    </w:p>
    <w:p>
      <w:pPr>
        <w:pStyle w:val="BodyText"/>
      </w:pPr>
      <w:r>
        <w:t xml:space="preserve">El MCSP debería establecer un proceso estructurado de evaluación continua durante la duración de la relación entre el cliente y el MCSP. La eficacia del encargo debería evaluarse con base en los criterios de evaluación, y en las políticas y estrategias incluidas en el acuerdo.</w:t>
      </w:r>
    </w:p>
    <w:p>
      <w:pPr>
        <w:pStyle w:val="BodyText"/>
      </w:pPr>
      <w:r>
        <w:t xml:space="preserve">Incluso si en el acuerdo no se incluye ninguna evaluación, el MCSP debería contar con un proceso para aprender del trabajo que realiza.</w:t>
      </w:r>
    </w:p>
    <w:p>
      <w:pPr>
        <w:pStyle w:val="BodyText"/>
      </w:pPr>
      <w:r>
        <w:t xml:space="preserve">Si se requiere una evaluación por razones contractuales para determinar los honorarios pagados, el MCSP y el cliente deberían acordar el método de evaluación más apropiado.</w:t>
      </w:r>
    </w:p>
    <w:bookmarkEnd w:id="34"/>
    <w:bookmarkStart w:id="47" w:name="políticas"/>
    <w:p>
      <w:pPr>
        <w:pStyle w:val="Heading3"/>
      </w:pPr>
      <w:r>
        <w:t xml:space="preserve">4.4 Políticas</w:t>
      </w:r>
    </w:p>
    <w:p>
      <w:pPr>
        <w:pStyle w:val="FirstParagraph"/>
      </w:pPr>
      <w:r>
        <w:t xml:space="preserve">Las políticas escritas en 4.4.1 a 4.4.12 sirven para guiar al MCSP en la prestación del encargo y se aplican durante el encargo.</w:t>
      </w:r>
    </w:p>
    <w:bookmarkStart w:id="35" w:name="marco-regulatorio"/>
    <w:p>
      <w:pPr>
        <w:pStyle w:val="Heading4"/>
      </w:pPr>
      <w:r>
        <w:t xml:space="preserve">4.4.1 Marco regulatorio</w:t>
      </w:r>
    </w:p>
    <w:p>
      <w:pPr>
        <w:pStyle w:val="FirstParagraph"/>
      </w:pPr>
      <w:r>
        <w:t xml:space="preserve">El MCSP debería mantener un nivel adecuado de conocimiento de las leyes, políticas, reglas, reglamentos y normas pertinentes que rigen sus servicios y los del cliente.</w:t>
      </w:r>
    </w:p>
    <w:p>
      <w:pPr>
        <w:pStyle w:val="BodyText"/>
      </w:pPr>
      <w:r>
        <w:t xml:space="preserve">El MCSP debería:</w:t>
      </w:r>
    </w:p>
    <w:p>
      <w:pPr>
        <w:pStyle w:val="BodyText"/>
      </w:pPr>
      <w:r>
        <w:t xml:space="preserve">— dialogar con el cliente para determinar las leyes y reglamentos pertinentes para el encargo;</w:t>
      </w:r>
      <w:r>
        <w:t xml:space="preserve"> </w:t>
      </w:r>
      <w:r>
        <w:t xml:space="preserve">— gestionar cualquier conflicto entre las leyes y reglamentos relevantes para sus actividades generales y los relevantes para el encargo específico.</w:t>
      </w:r>
    </w:p>
    <w:p>
      <w:pPr>
        <w:pStyle w:val="BodyText"/>
      </w:pPr>
      <w:r>
        <w:t xml:space="preserve">Si existen conflictos, para garantizar la claridad, las leyes y reglamentos pertinentes para el encargo deberían identificarse en el acuerdo.</w:t>
      </w:r>
    </w:p>
    <w:p>
      <w:pPr>
        <w:pStyle w:val="BodyText"/>
      </w:pPr>
      <w:r>
        <w:t xml:space="preserve">NOTA — En caso de jurisdicciones múltiples, el objetivo de este apartado es seleccionar y especificar qué leyes son pertinentes para el encargo, dependiendo de dónde opere el MCSP y dónde opere el destinatario. Esto también genera conciencia sobre posibles conflictos entre leyes en encargos transfronterizos.</w:t>
      </w:r>
    </w:p>
    <w:bookmarkEnd w:id="35"/>
    <w:bookmarkStart w:id="36" w:name="X086aa74c8e9641797177f37f204af6a50332797"/>
    <w:p>
      <w:pPr>
        <w:pStyle w:val="Heading4"/>
      </w:pPr>
      <w:r>
        <w:t xml:space="preserve">4.4.2 Participación y compromiso de las partes interesadas</w:t>
      </w:r>
    </w:p>
    <w:p>
      <w:pPr>
        <w:pStyle w:val="FirstParagraph"/>
      </w:pPr>
      <w:r>
        <w:t xml:space="preserve">El MCSP debería dialogar con el cliente para identificar a las partes interesadas pertinentes y acordar su participación.</w:t>
      </w:r>
    </w:p>
    <w:p>
      <w:pPr>
        <w:pStyle w:val="BodyText"/>
      </w:pPr>
      <w:r>
        <w:t xml:space="preserve">El MCSP, junto con el cliente, debería entonces dialogar con esas partes interesadas pertinentes para acordar su participación.</w:t>
      </w:r>
    </w:p>
    <w:p>
      <w:pPr>
        <w:pStyle w:val="BodyText"/>
      </w:pPr>
      <w:r>
        <w:t xml:space="preserve">El papel de las partes interesadas y su relación con el MCSP deberían describirse en el acuerdo.</w:t>
      </w:r>
    </w:p>
    <w:p>
      <w:pPr>
        <w:pStyle w:val="BodyText"/>
      </w:pPr>
      <w:r>
        <w:t xml:space="preserve">El acuerdo debería incluir:</w:t>
      </w:r>
    </w:p>
    <w:p>
      <w:pPr>
        <w:pStyle w:val="BodyText"/>
      </w:pPr>
      <w:r>
        <w:t xml:space="preserve">— acceso a la información;</w:t>
      </w:r>
      <w:r>
        <w:t xml:space="preserve"> </w:t>
      </w:r>
      <w:r>
        <w:t xml:space="preserve">— consulta;</w:t>
      </w:r>
      <w:r>
        <w:t xml:space="preserve"> </w:t>
      </w:r>
      <w:r>
        <w:t xml:space="preserve">— comunicación;</w:t>
      </w:r>
      <w:r>
        <w:t xml:space="preserve"> </w:t>
      </w:r>
      <w:r>
        <w:t xml:space="preserve">— funciones y responsabilidades.</w:t>
      </w:r>
    </w:p>
    <w:p>
      <w:pPr>
        <w:pStyle w:val="BodyText"/>
      </w:pPr>
      <w:r>
        <w:t xml:space="preserve">Debería existir una estrategia y una política eficaces para comunicarse con las partes interesadas durante la duración del encargo.</w:t>
      </w:r>
    </w:p>
    <w:bookmarkEnd w:id="36"/>
    <w:bookmarkStart w:id="37" w:name="código-de-conducta-ética-y-profesional"/>
    <w:p>
      <w:pPr>
        <w:pStyle w:val="Heading4"/>
      </w:pPr>
      <w:r>
        <w:t xml:space="preserve">4.4.3 Código de conducta ética y profesional</w:t>
      </w:r>
    </w:p>
    <w:p>
      <w:pPr>
        <w:pStyle w:val="FirstParagraph"/>
      </w:pPr>
      <w:r>
        <w:t xml:space="preserve">Debería observarse un código de conducta que guíe la conducta ética y profesional del MCSP durante el encargo.</w:t>
      </w:r>
    </w:p>
    <w:p>
      <w:pPr>
        <w:pStyle w:val="BodyText"/>
      </w:pPr>
      <w:r>
        <w:t xml:space="preserve">Este código de conducta debería incluir temas principales como:</w:t>
      </w:r>
    </w:p>
    <w:p>
      <w:pPr>
        <w:pStyle w:val="BodyText"/>
      </w:pPr>
      <w:r>
        <w:t xml:space="preserve">— comportamiento profesional;</w:t>
      </w:r>
      <w:r>
        <w:t xml:space="preserve"> </w:t>
      </w:r>
      <w:r>
        <w:t xml:space="preserve">— sostenibilidad;</w:t>
      </w:r>
      <w:r>
        <w:t xml:space="preserve"> </w:t>
      </w:r>
      <w:r>
        <w:t xml:space="preserve">— responsabilidad social;</w:t>
      </w:r>
      <w:r>
        <w:t xml:space="preserve"> </w:t>
      </w:r>
      <w:r>
        <w:t xml:space="preserve">— conflicto de intereses;</w:t>
      </w:r>
      <w:r>
        <w:t xml:space="preserve"> </w:t>
      </w:r>
      <w:r>
        <w:t xml:space="preserve">— integridad.</w:t>
      </w:r>
    </w:p>
    <w:p>
      <w:pPr>
        <w:pStyle w:val="BodyText"/>
      </w:pPr>
      <w:r>
        <w:t xml:space="preserve">El MCSP debería dialogar con el cliente sobre las normas de conducta que se aplicarán durante el encargo. Debería evaluar los códigos de conducta disponibles para asegurarse de que sus contenidos estén alineados o de que cualquier incoherencia se resuelva acordando los elementos aplicables. El MCSP debería procurar no comprometer sus normas éticas y profesionales.</w:t>
      </w:r>
    </w:p>
    <w:p>
      <w:pPr>
        <w:pStyle w:val="BodyText"/>
      </w:pPr>
      <w:r>
        <w:t xml:space="preserve">El código resultante puede ser específico del encargo, o puede ser un código de conducta existente, como los de cualquier parte interesada, MCSP o cliente, o un código de un organismo profesional o asociación comercial pertinente.</w:t>
      </w:r>
    </w:p>
    <w:p>
      <w:pPr>
        <w:pStyle w:val="BodyText"/>
      </w:pPr>
      <w:r>
        <w:t xml:space="preserve">El código de conducta aplicable debería registrarse en el acuerdo.</w:t>
      </w:r>
    </w:p>
    <w:p>
      <w:pPr>
        <w:pStyle w:val="BodyText"/>
      </w:pPr>
      <w:r>
        <w:t xml:space="preserve">NOTA 1 — Véase el Anexo D para ejemplos de directrices para los MCSP sobre un código de conducta.</w:t>
      </w:r>
    </w:p>
    <w:p>
      <w:pPr>
        <w:pStyle w:val="BodyText"/>
      </w:pPr>
      <w:r>
        <w:t xml:space="preserve">NOTA 2 — Véase el Anexo E para ejemplos de directrices para gestionar conflictos de interés.</w:t>
      </w:r>
    </w:p>
    <w:bookmarkEnd w:id="37"/>
    <w:bookmarkStart w:id="38" w:name="gobernanza-del-proyecto"/>
    <w:p>
      <w:pPr>
        <w:pStyle w:val="Heading4"/>
      </w:pPr>
      <w:r>
        <w:t xml:space="preserve">4.4.4 Gobernanza del proyecto</w:t>
      </w:r>
    </w:p>
    <w:p>
      <w:pPr>
        <w:pStyle w:val="FirstParagraph"/>
      </w:pPr>
      <w:r>
        <w:t xml:space="preserve">Debería acordarse un sistema apropiado de gobernanza del proyecto.</w:t>
      </w:r>
    </w:p>
    <w:p>
      <w:pPr>
        <w:pStyle w:val="BodyText"/>
      </w:pPr>
      <w:r>
        <w:t xml:space="preserve">Los sistemas de gobernanza varían según el tamaño y el tipo de encargo y el contexto ambiental, económico, político, cultural y social.</w:t>
      </w:r>
    </w:p>
    <w:p>
      <w:pPr>
        <w:pStyle w:val="BodyText"/>
      </w:pPr>
      <w:r>
        <w:t xml:space="preserve">El sistema de gobernanza del proyecto debería incluir:</w:t>
      </w:r>
    </w:p>
    <w:p>
      <w:pPr>
        <w:pStyle w:val="BodyText"/>
      </w:pPr>
      <w:r>
        <w:t xml:space="preserve">— alcance del trabajo y entregables;</w:t>
      </w:r>
      <w:r>
        <w:t xml:space="preserve"> </w:t>
      </w:r>
      <w:r>
        <w:t xml:space="preserve">— estructura de gestión (incluidos los representantes del cliente);</w:t>
      </w:r>
      <w:r>
        <w:t xml:space="preserve"> </w:t>
      </w:r>
      <w:r>
        <w:t xml:space="preserve">— políticas, procesos y metodologías que se utilizarán;</w:t>
      </w:r>
      <w:r>
        <w:t xml:space="preserve"> </w:t>
      </w:r>
      <w:r>
        <w:t xml:space="preserve">— límites de autoridad para la toma de decisiones;</w:t>
      </w:r>
      <w:r>
        <w:t xml:space="preserve"> </w:t>
      </w:r>
      <w:r>
        <w:t xml:space="preserve">— responsabilidades y obligaciones de rendición de cuentas de las partes interesadas;</w:t>
      </w:r>
      <w:r>
        <w:t xml:space="preserve"> </w:t>
      </w:r>
      <w:r>
        <w:t xml:space="preserve">— interacciones, tales como la elaboración de informes;</w:t>
      </w:r>
      <w:r>
        <w:t xml:space="preserve"> </w:t>
      </w:r>
      <w:r>
        <w:t xml:space="preserve">— proceso de escalamiento de asuntos;</w:t>
      </w:r>
      <w:r>
        <w:t xml:space="preserve"> </w:t>
      </w:r>
      <w:r>
        <w:t xml:space="preserve">— proceso de identificación y gestión de riesgos;</w:t>
      </w:r>
      <w:r>
        <w:t xml:space="preserve"> </w:t>
      </w:r>
      <w:r>
        <w:t xml:space="preserve">— mecanismos y controles para monitorear, apoyar y hacer cumplir el comportamiento ético;</w:t>
      </w:r>
      <w:r>
        <w:t xml:space="preserve"> </w:t>
      </w:r>
      <w:r>
        <w:t xml:space="preserve">— mecanismos para facilitar la denuncia de comportamientos poco éticos sin temor a represalias.</w:t>
      </w:r>
    </w:p>
    <w:p>
      <w:pPr>
        <w:pStyle w:val="BodyText"/>
      </w:pPr>
      <w:r>
        <w:t xml:space="preserve">La gobernanza del proyecto debería llevarse a cabo conjuntamente por el MCSP, el cliente y el destinatario.</w:t>
      </w:r>
    </w:p>
    <w:p>
      <w:pPr>
        <w:pStyle w:val="BodyText"/>
      </w:pPr>
      <w:r>
        <w:t xml:space="preserve">Si un MCSP tiene motivos para creer que los resultados acordados del encargo no se alcanzarán dentro de los términos del acuerdo, debería informar al cliente de sus conclusiones y renegociar el acuerdo.</w:t>
      </w:r>
    </w:p>
    <w:bookmarkEnd w:id="38"/>
    <w:bookmarkStart w:id="39" w:name="capacidad"/>
    <w:p>
      <w:pPr>
        <w:pStyle w:val="Heading4"/>
      </w:pPr>
      <w:r>
        <w:t xml:space="preserve">4.4.5 Capacidad</w:t>
      </w:r>
    </w:p>
    <w:p>
      <w:pPr>
        <w:pStyle w:val="FirstParagraph"/>
      </w:pPr>
      <w:r>
        <w:t xml:space="preserve">El MCSP es responsable de desarrollar y mantener una capacidad adecuada durante todo el encargo.</w:t>
      </w:r>
    </w:p>
    <w:p>
      <w:pPr>
        <w:pStyle w:val="BodyText"/>
      </w:pPr>
      <w:r>
        <w:t xml:space="preserve">El MCSP solo debería buscar y aceptar los encargos que sea capaz de cumplir.</w:t>
      </w:r>
    </w:p>
    <w:p>
      <w:pPr>
        <w:pStyle w:val="BodyText"/>
      </w:pPr>
      <w:r>
        <w:t xml:space="preserve">La capacidad incluye:</w:t>
      </w:r>
    </w:p>
    <w:p>
      <w:pPr>
        <w:pStyle w:val="BodyText"/>
      </w:pPr>
      <w:r>
        <w:t xml:space="preserve">— personal gestionado, incluidos los contratistas (experiencia técnica, habilidades de consultoría y habilidades personales);</w:t>
      </w:r>
      <w:r>
        <w:t xml:space="preserve"> </w:t>
      </w:r>
      <w:r>
        <w:t xml:space="preserve">— otros recursos, incluido el acceso a conocimientos especializados, metodologías, herramientas y tecnología y otros recursos pertinentes que no sean personal.</w:t>
      </w:r>
    </w:p>
    <w:p>
      <w:pPr>
        <w:pStyle w:val="BodyText"/>
      </w:pPr>
      <w:r>
        <w:t xml:space="preserve">NOTA — Véase el Anexo F para ejemplos de criterios para evaluar la capacidad.</w:t>
      </w:r>
    </w:p>
    <w:bookmarkEnd w:id="39"/>
    <w:bookmarkStart w:id="40" w:name="comunicación"/>
    <w:p>
      <w:pPr>
        <w:pStyle w:val="Heading4"/>
      </w:pPr>
      <w:r>
        <w:t xml:space="preserve">4.4.6 Comunicación</w:t>
      </w:r>
    </w:p>
    <w:p>
      <w:pPr>
        <w:pStyle w:val="FirstParagraph"/>
      </w:pPr>
      <w:r>
        <w:t xml:space="preserve">La comprensión clara entre el cliente, el destinatario y el MCSP es fundamental para el éxito del encargo.</w:t>
      </w:r>
    </w:p>
    <w:p>
      <w:pPr>
        <w:pStyle w:val="BodyText"/>
      </w:pPr>
      <w:r>
        <w:t xml:space="preserve">La comunicación eficaz maximiza la comprensión, genera confianza y minimiza los riesgos.</w:t>
      </w:r>
    </w:p>
    <w:p>
      <w:pPr>
        <w:pStyle w:val="BodyText"/>
      </w:pPr>
      <w:r>
        <w:t xml:space="preserve">Debería existir una estrategia y una política eficaces para comunicarse con las partes interesadas pertinentes durante la duración del encargo.</w:t>
      </w:r>
    </w:p>
    <w:bookmarkEnd w:id="40"/>
    <w:bookmarkStart w:id="41" w:name="protección-de-datos-y-confidencialidad"/>
    <w:p>
      <w:pPr>
        <w:pStyle w:val="Heading4"/>
      </w:pPr>
      <w:r>
        <w:t xml:space="preserve">4.4.7 Protección de datos y confidencialidad</w:t>
      </w:r>
    </w:p>
    <w:p>
      <w:pPr>
        <w:pStyle w:val="FirstParagraph"/>
      </w:pPr>
      <w:r>
        <w:t xml:space="preserve">La política de comunicación debería abarcar los datos y la información confidenciales, así como los derechos de propiedad intelectual, tales como los puntos de referencia (benchmarks), para todas las partes interesadas.</w:t>
      </w:r>
    </w:p>
    <w:p>
      <w:pPr>
        <w:pStyle w:val="BodyText"/>
      </w:pPr>
      <w:r>
        <w:t xml:space="preserve">El MCSP debería salvaguardar los derechos de privacidad de todas las partes interesadas limitando los tipos de información recopilada y las formas en que dicha información se obtiene, almacena, utiliza, notifica y protege.</w:t>
      </w:r>
    </w:p>
    <w:p>
      <w:pPr>
        <w:pStyle w:val="BodyText"/>
      </w:pPr>
      <w:r>
        <w:t xml:space="preserve">El MCSP no debería utilizar los datos o la información de las partes interesadas sin permiso por ningún motivo, en particular para demostrar la capacidad del MCSP para ejecutar un encargo.</w:t>
      </w:r>
    </w:p>
    <w:p>
      <w:pPr>
        <w:pStyle w:val="BodyText"/>
      </w:pPr>
      <w:r>
        <w:t xml:space="preserve">El MCSP debería mantener su credibilidad y la confianza de los clientes. El MCSP es responsable de la confidencialidad de los datos y la información recibidos de los clientes.</w:t>
      </w:r>
    </w:p>
    <w:p>
      <w:pPr>
        <w:pStyle w:val="BodyText"/>
      </w:pPr>
      <w:r>
        <w:t xml:space="preserve">Esta política también puede aplicarse tras el cierre del encargo.</w:t>
      </w:r>
    </w:p>
    <w:bookmarkEnd w:id="41"/>
    <w:bookmarkStart w:id="42" w:name="protección-de-la-propiedad-intelectual"/>
    <w:p>
      <w:pPr>
        <w:pStyle w:val="Heading4"/>
      </w:pPr>
      <w:r>
        <w:t xml:space="preserve">4.4.8 Protección de la propiedad intelectual</w:t>
      </w:r>
    </w:p>
    <w:p>
      <w:pPr>
        <w:pStyle w:val="FirstParagraph"/>
      </w:pPr>
      <w:r>
        <w:t xml:space="preserve">El MCSP tiene derechos de propiedad intelectual sobre su saber hacer, metodologías, bases de datos, puntos de referencia, modelos de negocio, herramientas y otros conceptos y técnicas pertinentes.</w:t>
      </w:r>
    </w:p>
    <w:p>
      <w:pPr>
        <w:pStyle w:val="BodyText"/>
      </w:pPr>
      <w:r>
        <w:t xml:space="preserve">El MCSP normalmente conserva la titularidad de los derechos de propiedad intelectual que aporta a un proyecto.</w:t>
      </w:r>
    </w:p>
    <w:p>
      <w:pPr>
        <w:pStyle w:val="BodyText"/>
      </w:pPr>
      <w:r>
        <w:t xml:space="preserve">En cuanto a los derechos de propiedad intelectual derivados del resultado o de los entregables del encargo (titularidad, derecho de uso o derecho de referencia), la titularidad debería acordarse durante la fase de contratación.</w:t>
      </w:r>
    </w:p>
    <w:p>
      <w:pPr>
        <w:pStyle w:val="BodyText"/>
      </w:pPr>
      <w:r>
        <w:t xml:space="preserve">Esta política también puede aplicarse tras el cierre del encargo.</w:t>
      </w:r>
    </w:p>
    <w:bookmarkEnd w:id="42"/>
    <w:bookmarkStart w:id="43" w:name="responsabilidad-social"/>
    <w:p>
      <w:pPr>
        <w:pStyle w:val="Heading4"/>
      </w:pPr>
      <w:r>
        <w:t xml:space="preserve">4.4.9 Responsabilidad social</w:t>
      </w:r>
    </w:p>
    <w:p>
      <w:pPr>
        <w:pStyle w:val="FirstParagraph"/>
      </w:pPr>
      <w:r>
        <w:t xml:space="preserve">El MCSP debería procurar lograr resultados socialmente responsables que consideren los intereses de las partes interesadas. Las consideraciones podrían incluir:</w:t>
      </w:r>
    </w:p>
    <w:p>
      <w:pPr>
        <w:pStyle w:val="BodyText"/>
      </w:pPr>
      <w:r>
        <w:t xml:space="preserve">— demostración de la contribución del MCSP a las partes interesadas;</w:t>
      </w:r>
      <w:r>
        <w:t xml:space="preserve"> </w:t>
      </w:r>
      <w:r>
        <w:t xml:space="preserve">— contribución al desarrollo sostenible;</w:t>
      </w:r>
      <w:r>
        <w:t xml:space="preserve"> </w:t>
      </w:r>
      <w:r>
        <w:t xml:space="preserve">— gobernanza ética del proyecto, incluida la transparencia;</w:t>
      </w:r>
      <w:r>
        <w:t xml:space="preserve"> </w:t>
      </w:r>
      <w:r>
        <w:t xml:space="preserve">— alineación con las normas y estándares documentados por las organizaciones pertinentes.</w:t>
      </w:r>
    </w:p>
    <w:p>
      <w:pPr>
        <w:pStyle w:val="BodyText"/>
      </w:pPr>
      <w:r>
        <w:t xml:space="preserve">NOTA — Las organizaciones pertinentes podrían incluir CEN, OSCE, OIT, ISO, ONU.</w:t>
      </w:r>
    </w:p>
    <w:bookmarkEnd w:id="43"/>
    <w:bookmarkStart w:id="44" w:name="salud-y-seguridad"/>
    <w:p>
      <w:pPr>
        <w:pStyle w:val="Heading4"/>
      </w:pPr>
      <w:r>
        <w:t xml:space="preserve">4.4.10 Salud y seguridad</w:t>
      </w:r>
    </w:p>
    <w:p>
      <w:pPr>
        <w:pStyle w:val="FirstParagraph"/>
      </w:pPr>
      <w:r>
        <w:t xml:space="preserve">El MCSP debería dialogar con el cliente para evaluar y mitigar continuamente los riesgos del encargo para la salud y la seguridad de los consultores y de otras partes interesadas pertinentes.</w:t>
      </w:r>
    </w:p>
    <w:p>
      <w:pPr>
        <w:pStyle w:val="BodyText"/>
      </w:pPr>
      <w:r>
        <w:t xml:space="preserve">El acuerdo debería proporcionar información sobre el alcance, los recursos y las instalaciones pertinentes para la consideración de los riesgos de salud y seguridad, dentro de los cuales y con los cuales el MCSP debería identificar, analizar, evaluar y priorizar la naturaleza de los riesgos potenciales, coordinando y aplicando los recursos necesarios para minimizar, monitorear y controlar la probabilidad y el impacto de eventos imprevistos.</w:t>
      </w:r>
    </w:p>
    <w:p>
      <w:pPr>
        <w:pStyle w:val="BodyText"/>
      </w:pPr>
      <w:r>
        <w:t xml:space="preserve">La metodología y el alcance de la gestión de la salud y la seguridad deberían acordarse en la fase de contratación. Para proyectos grandes o complejos, esto puede ser una actividad sustancial del proyecto que requiera recursos dedicados.</w:t>
      </w:r>
    </w:p>
    <w:p>
      <w:pPr>
        <w:pStyle w:val="BodyText"/>
      </w:pPr>
      <w:r>
        <w:t xml:space="preserve">NOTA — La gestión de la salud y la seguridad es un servicio de consultoría.</w:t>
      </w:r>
    </w:p>
    <w:bookmarkEnd w:id="44"/>
    <w:bookmarkStart w:id="45" w:name="gestión-de-riesgos-y-de-la-calidad"/>
    <w:p>
      <w:pPr>
        <w:pStyle w:val="Heading4"/>
      </w:pPr>
      <w:r>
        <w:t xml:space="preserve">4.4.11 Gestión de riesgos y de la calidad</w:t>
      </w:r>
    </w:p>
    <w:p>
      <w:pPr>
        <w:pStyle w:val="FirstParagraph"/>
      </w:pPr>
      <w:r>
        <w:t xml:space="preserve">El MCSP debería anticipar, evaluar, priorizar y gestionar continuamente los riesgos y los problemas de calidad asociados con el encargo. Deberían considerarse tanto los riesgos comerciales como los relacionados con el proyecto.</w:t>
      </w:r>
    </w:p>
    <w:p>
      <w:pPr>
        <w:pStyle w:val="BodyText"/>
      </w:pPr>
      <w:r>
        <w:t xml:space="preserve">El MCSP debería coordinar y aplicar los recursos necesarios para minimizar, monitorear y controlar la probabilidad y el impacto de eventos imprevistos.</w:t>
      </w:r>
    </w:p>
    <w:p>
      <w:pPr>
        <w:pStyle w:val="BodyText"/>
      </w:pPr>
      <w:r>
        <w:t xml:space="preserve">La metodología y el alcance de la gestión de riesgos y de la calidad deberían acordarse en la fase de contratación. Para proyectos grandes o complejos, esto puede ser una actividad sustancial del proyecto que requiera recursos dedicados.</w:t>
      </w:r>
    </w:p>
    <w:p>
      <w:pPr>
        <w:pStyle w:val="BodyText"/>
      </w:pPr>
      <w:r>
        <w:t xml:space="preserve">Todas las decisiones relativas a los riesgos del compromiso, así como las estrategias de identificación y mitigación de riesgos, deberían aprobarse de acuerdo con las propias políticas y procedimientos del MCSP.</w:t>
      </w:r>
    </w:p>
    <w:p>
      <w:pPr>
        <w:pStyle w:val="BodyText"/>
      </w:pPr>
      <w:r>
        <w:t xml:space="preserve">NOTA 1 — La gestión del riesgo del cliente es un servicio de consultoría.</w:t>
      </w:r>
    </w:p>
    <w:p>
      <w:pPr>
        <w:pStyle w:val="BodyText"/>
      </w:pPr>
      <w:r>
        <w:t xml:space="preserve">NOTA 2 — Véase el Anexo G para ejemplos de directrices para gestionar los riesgos relacionados con la gestión de un encargo.</w:t>
      </w:r>
    </w:p>
    <w:bookmarkEnd w:id="45"/>
    <w:bookmarkStart w:id="46" w:name="garantías"/>
    <w:p>
      <w:pPr>
        <w:pStyle w:val="Heading4"/>
      </w:pPr>
      <w:r>
        <w:t xml:space="preserve">4.4.12 Garantías</w:t>
      </w:r>
    </w:p>
    <w:p>
      <w:pPr>
        <w:pStyle w:val="FirstParagraph"/>
      </w:pPr>
      <w:r>
        <w:t xml:space="preserve">Los MCSP deberían negociar y acordar las condiciones de cualquier garantía de los servicios que se vayan a prestar.</w:t>
      </w:r>
    </w:p>
    <w:bookmarkEnd w:id="46"/>
    <w:bookmarkEnd w:id="47"/>
    <w:bookmarkEnd w:id="48"/>
    <w:bookmarkStart w:id="70" w:name="contratación"/>
    <w:p>
      <w:pPr>
        <w:pStyle w:val="Heading2"/>
      </w:pPr>
      <w:r>
        <w:t xml:space="preserve">5 Contratación</w:t>
      </w:r>
    </w:p>
    <w:bookmarkStart w:id="49" w:name="generalidades-1"/>
    <w:p>
      <w:pPr>
        <w:pStyle w:val="Heading3"/>
      </w:pPr>
      <w:r>
        <w:t xml:space="preserve">5.1 Generalidades</w:t>
      </w:r>
    </w:p>
    <w:p>
      <w:pPr>
        <w:pStyle w:val="FirstParagraph"/>
      </w:pPr>
      <w:r>
        <w:t xml:space="preserve">Esta cláusula proporciona una estructura para los contenidos de un acuerdo.</w:t>
      </w:r>
    </w:p>
    <w:p>
      <w:pPr>
        <w:pStyle w:val="BodyText"/>
      </w:pPr>
      <w:r>
        <w:t xml:space="preserve">La negociación del acuerdo parte de la existencia de una comprensión mutua de cada parte. Esta fase debe ser realizada conjuntamente por el cliente y el MCSP.</w:t>
      </w:r>
    </w:p>
    <w:bookmarkEnd w:id="49"/>
    <w:bookmarkStart w:id="50" w:name="propósito"/>
    <w:p>
      <w:pPr>
        <w:pStyle w:val="Heading3"/>
      </w:pPr>
      <w:r>
        <w:t xml:space="preserve">5.2 Propósito</w:t>
      </w:r>
    </w:p>
    <w:p>
      <w:pPr>
        <w:pStyle w:val="FirstParagraph"/>
      </w:pPr>
      <w:r>
        <w:t xml:space="preserve">El propósito de la fase de contratación es construir y alcanzar un acuerdo entre el MCSP y el cliente sobre los servicios que se prestarán.</w:t>
      </w:r>
    </w:p>
    <w:p>
      <w:pPr>
        <w:pStyle w:val="BodyText"/>
      </w:pPr>
      <w:r>
        <w:t xml:space="preserve">El MCSP solo debería celebrar un acuerdo que proteja los intereses del cliente y del MCSP.</w:t>
      </w:r>
    </w:p>
    <w:p>
      <w:pPr>
        <w:pStyle w:val="BodyText"/>
      </w:pPr>
      <w:r>
        <w:t xml:space="preserve">Es necesario identificar a las partes interesadas cuyos intereses se considerarán.</w:t>
      </w:r>
    </w:p>
    <w:bookmarkEnd w:id="50"/>
    <w:bookmarkStart w:id="51" w:name="entrada"/>
    <w:p>
      <w:pPr>
        <w:pStyle w:val="Heading3"/>
      </w:pPr>
      <w:r>
        <w:t xml:space="preserve">5.3 Entrada</w:t>
      </w:r>
    </w:p>
    <w:p>
      <w:pPr>
        <w:pStyle w:val="FirstParagraph"/>
      </w:pPr>
      <w:r>
        <w:t xml:space="preserve">Hay muchas entradas para la fase de contratación, incluidas las necesidades percibidas, las expectativas y los deseos del cliente y las posibles limitaciones y riesgos que implica el encargo, y cualquier cambio significativo que esté fuera del alcance del proceso de control de cambios (véase 6.5.4.6).</w:t>
      </w:r>
    </w:p>
    <w:bookmarkEnd w:id="51"/>
    <w:bookmarkStart w:id="52" w:name="resultado"/>
    <w:p>
      <w:pPr>
        <w:pStyle w:val="Heading3"/>
      </w:pPr>
      <w:r>
        <w:t xml:space="preserve">5.4 Resultado</w:t>
      </w:r>
    </w:p>
    <w:p>
      <w:pPr>
        <w:pStyle w:val="FirstParagraph"/>
      </w:pPr>
      <w:r>
        <w:t xml:space="preserve">El resultado de la fase de contratación es un acuerdo vinculante entre el MCSP y el cliente. El acuerdo determina los servicios y los entregables que se prestarán y establece los derechos y obligaciones de cada una de las partes.</w:t>
      </w:r>
    </w:p>
    <w:p>
      <w:pPr>
        <w:pStyle w:val="BodyText"/>
      </w:pPr>
      <w:r>
        <w:t xml:space="preserve">NOTA — El acuerdo podría basarse en una «solicitud de propuesta» que describa un conjunto de requisitos y especificaciones para los servicios, los entregables y los criterios de evaluación, incluidas las condiciones de aceptación.</w:t>
      </w:r>
    </w:p>
    <w:bookmarkEnd w:id="52"/>
    <w:bookmarkStart w:id="69" w:name="contenidos"/>
    <w:p>
      <w:pPr>
        <w:pStyle w:val="Heading3"/>
      </w:pPr>
      <w:r>
        <w:t xml:space="preserve">5.5 Contenidos</w:t>
      </w:r>
    </w:p>
    <w:bookmarkStart w:id="53" w:name="generalidades-2"/>
    <w:p>
      <w:pPr>
        <w:pStyle w:val="Heading4"/>
      </w:pPr>
      <w:r>
        <w:t xml:space="preserve">5.5.1 Generalidades</w:t>
      </w:r>
    </w:p>
    <w:p>
      <w:pPr>
        <w:pStyle w:val="FirstParagraph"/>
      </w:pPr>
      <w:r>
        <w:t xml:space="preserve">El acuerdo debería incluir:</w:t>
      </w:r>
    </w:p>
    <w:p>
      <w:pPr>
        <w:pStyle w:val="BodyText"/>
      </w:pPr>
      <w:r>
        <w:t xml:space="preserve">— contexto;</w:t>
      </w:r>
      <w:r>
        <w:t xml:space="preserve"> </w:t>
      </w:r>
      <w:r>
        <w:t xml:space="preserve">— servicios y entregables;</w:t>
      </w:r>
      <w:r>
        <w:t xml:space="preserve"> </w:t>
      </w:r>
      <w:r>
        <w:t xml:space="preserve">— enfoque y plan de trabajo;</w:t>
      </w:r>
      <w:r>
        <w:t xml:space="preserve"> </w:t>
      </w:r>
      <w:r>
        <w:t xml:space="preserve">— funciones y responsabilidades;</w:t>
      </w:r>
      <w:r>
        <w:t xml:space="preserve"> </w:t>
      </w:r>
      <w:r>
        <w:t xml:space="preserve">— criterios de aceptación;</w:t>
      </w:r>
      <w:r>
        <w:t xml:space="preserve"> </w:t>
      </w:r>
      <w:r>
        <w:t xml:space="preserve">— términos y condiciones.</w:t>
      </w:r>
    </w:p>
    <w:p>
      <w:pPr>
        <w:pStyle w:val="BodyText"/>
      </w:pPr>
      <w:r>
        <w:t xml:space="preserve">Los elementos de 5.5.2 a 5.5.7 son contenidos típicos de un acuerdo entre el MCSP y el cliente. Sin embargo, si resulta evidente para ambas partes que algunos de estos contenidos son inapropiados, deberían excluirse. La descripción de un elemento específico puede ser realizada por el MCSP o por el cliente, si se acuerda con la otra parte.</w:t>
      </w:r>
    </w:p>
    <w:bookmarkEnd w:id="53"/>
    <w:bookmarkStart w:id="57" w:name="contexto"/>
    <w:p>
      <w:pPr>
        <w:pStyle w:val="Heading4"/>
      </w:pPr>
      <w:r>
        <w:t xml:space="preserve">5.5.2 Contexto</w:t>
      </w:r>
    </w:p>
    <w:bookmarkStart w:id="54" w:name="Xc5fa65db65582a6f969de8103cd789a58005e57"/>
    <w:p>
      <w:pPr>
        <w:pStyle w:val="Heading5"/>
      </w:pPr>
      <w:r>
        <w:t xml:space="preserve">5.5.2.1 Información de antecedentes, supuestos, alcance y límites</w:t>
      </w:r>
    </w:p>
    <w:p>
      <w:pPr>
        <w:pStyle w:val="FirstParagraph"/>
      </w:pPr>
      <w:r>
        <w:t xml:space="preserve">El acuerdo debería contener los hechos pertinentes, por ejemplo, una descripción precisa de la situación actual de la organización, los objetivos del cliente, por qué es necesario hacer el trabajo, los supuestos y su impacto, y el alcance y los límites del encargo. Es importante asegurarse de que el cliente comprenda la necesidad de compartir toda la información pertinente y significativa.</w:t>
      </w:r>
    </w:p>
    <w:bookmarkEnd w:id="54"/>
    <w:bookmarkStart w:id="55" w:name="limitaciones-y-riesgos"/>
    <w:p>
      <w:pPr>
        <w:pStyle w:val="Heading5"/>
      </w:pPr>
      <w:r>
        <w:t xml:space="preserve">5.5.2.2 Limitaciones y riesgos</w:t>
      </w:r>
    </w:p>
    <w:p>
      <w:pPr>
        <w:pStyle w:val="FirstParagraph"/>
      </w:pPr>
      <w:r>
        <w:t xml:space="preserve">El acuerdo debería especificar las limitaciones y los riesgos asociados con el encargo, en la medida en que sean conocidos e identificados, remitiéndose a las políticas (véase 4.4).</w:t>
      </w:r>
    </w:p>
    <w:bookmarkEnd w:id="55"/>
    <w:bookmarkStart w:id="56" w:name="partes-interesadas"/>
    <w:p>
      <w:pPr>
        <w:pStyle w:val="Heading5"/>
      </w:pPr>
      <w:r>
        <w:t xml:space="preserve">5.5.2.3 Partes interesadas</w:t>
      </w:r>
    </w:p>
    <w:p>
      <w:pPr>
        <w:pStyle w:val="FirstParagraph"/>
      </w:pPr>
      <w:r>
        <w:t xml:space="preserve">El acuerdo debería especificar cualquier acuerdo negociado con las partes interesadas.</w:t>
      </w:r>
    </w:p>
    <w:bookmarkEnd w:id="56"/>
    <w:bookmarkEnd w:id="57"/>
    <w:bookmarkStart w:id="58" w:name="servicios-y-entregables"/>
    <w:p>
      <w:pPr>
        <w:pStyle w:val="Heading4"/>
      </w:pPr>
      <w:r>
        <w:t xml:space="preserve">5.5.3 Servicios y entregables</w:t>
      </w:r>
    </w:p>
    <w:p>
      <w:pPr>
        <w:pStyle w:val="FirstParagraph"/>
      </w:pPr>
      <w:r>
        <w:t xml:space="preserve">El acuerdo debería contener una descripción de los servicios que se prestarán, los resultados esperados, los entregables del encargo y las condiciones y el proceso de aceptación. Los servicios deberían poder evaluarse con criterios formales de evaluación.</w:t>
      </w:r>
    </w:p>
    <w:bookmarkEnd w:id="58"/>
    <w:bookmarkStart w:id="59" w:name="enfoque-y-plan-de-trabajo"/>
    <w:p>
      <w:pPr>
        <w:pStyle w:val="Heading4"/>
      </w:pPr>
      <w:r>
        <w:t xml:space="preserve">5.5.4 Enfoque y plan de trabajo</w:t>
      </w:r>
    </w:p>
    <w:p>
      <w:pPr>
        <w:pStyle w:val="FirstParagraph"/>
      </w:pPr>
      <w:r>
        <w:t xml:space="preserve">El acuerdo debería incluir un plan de trabajo. Los siguientes elementos pueden utilizarse como lista de verificación:</w:t>
      </w:r>
    </w:p>
    <w:p>
      <w:pPr>
        <w:numPr>
          <w:ilvl w:val="0"/>
          <w:numId w:val="1002"/>
        </w:numPr>
        <w:pStyle w:val="Compact"/>
      </w:pPr>
      <w:r>
        <w:t xml:space="preserve">objetivos, alcance y resultados esperados;</w:t>
      </w:r>
    </w:p>
    <w:p>
      <w:pPr>
        <w:numPr>
          <w:ilvl w:val="0"/>
          <w:numId w:val="1002"/>
        </w:numPr>
        <w:pStyle w:val="Compact"/>
      </w:pPr>
      <w:r>
        <w:t xml:space="preserve">enfoque y metodología;</w:t>
      </w:r>
    </w:p>
    <w:p>
      <w:pPr>
        <w:numPr>
          <w:ilvl w:val="0"/>
          <w:numId w:val="1002"/>
        </w:numPr>
        <w:pStyle w:val="Compact"/>
      </w:pPr>
      <w:r>
        <w:t xml:space="preserve">gobernanza del proyecto (cambios en el alcance, procedimientos de escalamiento, etc.);</w:t>
      </w:r>
    </w:p>
    <w:p>
      <w:pPr>
        <w:numPr>
          <w:ilvl w:val="0"/>
          <w:numId w:val="1002"/>
        </w:numPr>
        <w:pStyle w:val="Compact"/>
      </w:pPr>
      <w:r>
        <w:t xml:space="preserve">contenidos;</w:t>
      </w:r>
    </w:p>
    <w:p>
      <w:pPr>
        <w:numPr>
          <w:ilvl w:val="0"/>
          <w:numId w:val="1002"/>
        </w:numPr>
        <w:pStyle w:val="Compact"/>
      </w:pPr>
      <w:r>
        <w:t xml:space="preserve">documentación;</w:t>
      </w:r>
    </w:p>
    <w:p>
      <w:pPr>
        <w:numPr>
          <w:ilvl w:val="0"/>
          <w:numId w:val="1002"/>
        </w:numPr>
        <w:pStyle w:val="Compact"/>
      </w:pPr>
      <w:r>
        <w:t xml:space="preserve">datos, información y recursos tecnológicos;</w:t>
      </w:r>
    </w:p>
    <w:p>
      <w:pPr>
        <w:numPr>
          <w:ilvl w:val="0"/>
          <w:numId w:val="1002"/>
        </w:numPr>
        <w:pStyle w:val="Compact"/>
      </w:pPr>
      <w:r>
        <w:t xml:space="preserve">organización del proyecto;</w:t>
      </w:r>
    </w:p>
    <w:p>
      <w:pPr>
        <w:numPr>
          <w:ilvl w:val="0"/>
          <w:numId w:val="1002"/>
        </w:numPr>
        <w:pStyle w:val="Compact"/>
      </w:pPr>
      <w:r>
        <w:t xml:space="preserve">recursos humanos del MCSP y sus responsabilidades;</w:t>
      </w:r>
    </w:p>
    <w:p>
      <w:pPr>
        <w:numPr>
          <w:ilvl w:val="0"/>
          <w:numId w:val="1002"/>
        </w:numPr>
        <w:pStyle w:val="Compact"/>
      </w:pPr>
      <w:r>
        <w:t xml:space="preserve">recursos humanos del cliente, del destinatario y de otras partes interesadas, y sus funciones y responsabilidades;</w:t>
      </w:r>
    </w:p>
    <w:p>
      <w:pPr>
        <w:numPr>
          <w:ilvl w:val="0"/>
          <w:numId w:val="1002"/>
        </w:numPr>
        <w:pStyle w:val="Compact"/>
      </w:pPr>
      <w:r>
        <w:t xml:space="preserve">calendario e hitos;</w:t>
      </w:r>
    </w:p>
    <w:p>
      <w:pPr>
        <w:numPr>
          <w:ilvl w:val="0"/>
          <w:numId w:val="1002"/>
        </w:numPr>
        <w:pStyle w:val="Compact"/>
      </w:pPr>
      <w:r>
        <w:t xml:space="preserve">presupuesto del proyecto;</w:t>
      </w:r>
    </w:p>
    <w:p>
      <w:pPr>
        <w:numPr>
          <w:ilvl w:val="0"/>
          <w:numId w:val="1002"/>
        </w:numPr>
        <w:pStyle w:val="Compact"/>
      </w:pPr>
      <w:r>
        <w:t xml:space="preserve">métodos de gestión del proyecto;</w:t>
      </w:r>
    </w:p>
    <w:p>
      <w:pPr>
        <w:numPr>
          <w:ilvl w:val="0"/>
          <w:numId w:val="1002"/>
        </w:numPr>
        <w:pStyle w:val="Compact"/>
      </w:pPr>
      <w:r>
        <w:t xml:space="preserve">comunicaciones (canales, métodos, etc.);</w:t>
      </w:r>
    </w:p>
    <w:p>
      <w:pPr>
        <w:numPr>
          <w:ilvl w:val="0"/>
          <w:numId w:val="1002"/>
        </w:numPr>
        <w:pStyle w:val="Compact"/>
      </w:pPr>
      <w:r>
        <w:t xml:space="preserve">desarrollo de capacidades del cliente y/o del destinatario;</w:t>
      </w:r>
    </w:p>
    <w:p>
      <w:pPr>
        <w:numPr>
          <w:ilvl w:val="0"/>
          <w:numId w:val="1002"/>
        </w:numPr>
        <w:pStyle w:val="Compact"/>
      </w:pPr>
      <w:r>
        <w:t xml:space="preserve">transferencia de conocimientos;</w:t>
      </w:r>
    </w:p>
    <w:p>
      <w:pPr>
        <w:numPr>
          <w:ilvl w:val="0"/>
          <w:numId w:val="1002"/>
        </w:numPr>
        <w:pStyle w:val="Compact"/>
      </w:pPr>
      <w:r>
        <w:t xml:space="preserve">metodología de calidad y de riesgos;</w:t>
      </w:r>
    </w:p>
    <w:p>
      <w:pPr>
        <w:numPr>
          <w:ilvl w:val="0"/>
          <w:numId w:val="1002"/>
        </w:numPr>
        <w:pStyle w:val="Compact"/>
      </w:pPr>
      <w:r>
        <w:t xml:space="preserve">entregables.</w:t>
      </w:r>
    </w:p>
    <w:bookmarkEnd w:id="59"/>
    <w:bookmarkStart w:id="63" w:name="funciones-y-responsabilidades"/>
    <w:p>
      <w:pPr>
        <w:pStyle w:val="Heading4"/>
      </w:pPr>
      <w:r>
        <w:t xml:space="preserve">5.5.5 Funciones y responsabilidades</w:t>
      </w:r>
    </w:p>
    <w:bookmarkStart w:id="60" w:name="generalidades-3"/>
    <w:p>
      <w:pPr>
        <w:pStyle w:val="Heading5"/>
      </w:pPr>
      <w:r>
        <w:t xml:space="preserve">5.5.5.1 Generalidades</w:t>
      </w:r>
    </w:p>
    <w:p>
      <w:pPr>
        <w:pStyle w:val="FirstParagraph"/>
      </w:pPr>
      <w:r>
        <w:t xml:space="preserve">Este acuerdo debería especificar las funciones, las responsabilidades y todos los recursos (incluidas las personas, los datos y la documentación del cliente, del destinatario y de otras partes interesadas) que intervienen en el encargo.</w:t>
      </w:r>
    </w:p>
    <w:bookmarkEnd w:id="60"/>
    <w:bookmarkStart w:id="61" w:name="seguimiento-y-control-del-encargo"/>
    <w:p>
      <w:pPr>
        <w:pStyle w:val="Heading5"/>
      </w:pPr>
      <w:r>
        <w:t xml:space="preserve">5.5.5.2 Seguimiento y control del encargo</w:t>
      </w:r>
    </w:p>
    <w:p>
      <w:pPr>
        <w:pStyle w:val="FirstParagraph"/>
      </w:pPr>
      <w:r>
        <w:t xml:space="preserve">El acuerdo debería especificar los procesos de toma de decisiones, dirección y control del encargo, incluida la designación de un «patrocinador» o «líder» del proyecto para la función de gobernanza del proyecto. Estos deberían ser coherentes con la gobernanza organizacional del cliente.</w:t>
      </w:r>
    </w:p>
    <w:bookmarkEnd w:id="61"/>
    <w:bookmarkStart w:id="62" w:name="evaluación-del-encargo"/>
    <w:p>
      <w:pPr>
        <w:pStyle w:val="Heading5"/>
      </w:pPr>
      <w:r>
        <w:t xml:space="preserve">5.5.5.3 Evaluación del encargo</w:t>
      </w:r>
    </w:p>
    <w:p>
      <w:pPr>
        <w:pStyle w:val="FirstParagraph"/>
      </w:pPr>
      <w:r>
        <w:t xml:space="preserve">El acuerdo debería especificar cómo se llevará a cabo la evaluación, por ejemplo, hitos medibles, cómo deberían evaluarse los objetivos y a quién deberían informarse los resultados de la evaluación intermedia y final.</w:t>
      </w:r>
    </w:p>
    <w:bookmarkEnd w:id="62"/>
    <w:bookmarkEnd w:id="63"/>
    <w:bookmarkStart w:id="64" w:name="criterios-de-aceptación"/>
    <w:p>
      <w:pPr>
        <w:pStyle w:val="Heading4"/>
      </w:pPr>
      <w:r>
        <w:t xml:space="preserve">5.5.6 Criterios de aceptación</w:t>
      </w:r>
    </w:p>
    <w:p>
      <w:pPr>
        <w:pStyle w:val="FirstParagraph"/>
      </w:pPr>
      <w:r>
        <w:t xml:space="preserve">El acuerdo debería especificar los criterios de aceptación, tales como los indicadores clave de desempeño (KPI).</w:t>
      </w:r>
    </w:p>
    <w:bookmarkEnd w:id="64"/>
    <w:bookmarkStart w:id="68" w:name="términos-y-condiciones"/>
    <w:p>
      <w:pPr>
        <w:pStyle w:val="Heading4"/>
      </w:pPr>
      <w:r>
        <w:t xml:space="preserve">5.5.7 Términos y condiciones</w:t>
      </w:r>
    </w:p>
    <w:bookmarkStart w:id="65" w:name="condiciones-comerciales"/>
    <w:p>
      <w:pPr>
        <w:pStyle w:val="Heading5"/>
      </w:pPr>
      <w:r>
        <w:t xml:space="preserve">5.5.7.1 Condiciones comerciales</w:t>
      </w:r>
    </w:p>
    <w:p>
      <w:pPr>
        <w:pStyle w:val="FirstParagraph"/>
      </w:pPr>
      <w:r>
        <w:t xml:space="preserve">El acuerdo debería especificar los términos y condiciones relativos a la facturación, tales como honorarios y cargos, calendario de pagos, gastos, etc.</w:t>
      </w:r>
    </w:p>
    <w:bookmarkEnd w:id="65"/>
    <w:bookmarkStart w:id="66" w:name="Xdca8bf2bbb92e904306247c02b95aaac755c2e3"/>
    <w:p>
      <w:pPr>
        <w:pStyle w:val="Heading5"/>
      </w:pPr>
      <w:r>
        <w:t xml:space="preserve">5.5.7.2 Términos y condiciones estándar de contratación</w:t>
      </w:r>
    </w:p>
    <w:p>
      <w:pPr>
        <w:pStyle w:val="FirstParagraph"/>
      </w:pPr>
      <w:r>
        <w:t xml:space="preserve">El acuerdo debería especificar cualquier información pertinente a los requisitos legales y reglamentarios y a las obligaciones estatutarias, tales como la titularidad de los materiales y entregables, derechos de los usuarios, licencias, derechos de propiedad intelectual, límites de responsabilidad, etc.</w:t>
      </w:r>
    </w:p>
    <w:p>
      <w:pPr>
        <w:pStyle w:val="BodyText"/>
      </w:pPr>
      <w:r>
        <w:t xml:space="preserve">Esto también puede incluir referencias a las normas profesionales aplicables.</w:t>
      </w:r>
    </w:p>
    <w:p>
      <w:pPr>
        <w:pStyle w:val="BodyText"/>
      </w:pPr>
      <w:r>
        <w:t xml:space="preserve">El MCSP debería contar con un proceso para tratar las reclamaciones y las controversias. Este proceso debería comunicarse claramente al cliente.</w:t>
      </w:r>
    </w:p>
    <w:bookmarkEnd w:id="66"/>
    <w:bookmarkStart w:id="67" w:name="X6fecb92454dd0a0334a0b411c8c54b5a9dc8c79"/>
    <w:p>
      <w:pPr>
        <w:pStyle w:val="Heading5"/>
      </w:pPr>
      <w:r>
        <w:t xml:space="preserve">5.5.7.3 Políticas que deben incluirse en el acuerdo</w:t>
      </w:r>
    </w:p>
    <w:p>
      <w:pPr>
        <w:pStyle w:val="FirstParagraph"/>
      </w:pPr>
      <w:r>
        <w:t xml:space="preserve">El acuerdo debería especificar cualquier requisito, responsabilidad y actividad relacionados con las políticas y cualquier otro elemento acordado aplicable al encargo.</w:t>
      </w:r>
    </w:p>
    <w:p>
      <w:pPr>
        <w:pStyle w:val="BodyText"/>
      </w:pPr>
      <w:r>
        <w:t xml:space="preserve">Los MCSP deberían evaluar sus responsabilidades y actividades para todas las políticas y declarar si no son aplicables.</w:t>
      </w:r>
    </w:p>
    <w:bookmarkEnd w:id="67"/>
    <w:bookmarkEnd w:id="68"/>
    <w:bookmarkEnd w:id="69"/>
    <w:bookmarkEnd w:id="70"/>
    <w:bookmarkStart w:id="90" w:name="ejecución"/>
    <w:p>
      <w:pPr>
        <w:pStyle w:val="Heading2"/>
      </w:pPr>
      <w:r>
        <w:t xml:space="preserve">6 Ejecución</w:t>
      </w:r>
    </w:p>
    <w:bookmarkStart w:id="71" w:name="generalidades-4"/>
    <w:p>
      <w:pPr>
        <w:pStyle w:val="Heading3"/>
      </w:pPr>
      <w:r>
        <w:t xml:space="preserve">6.1 Generalidades</w:t>
      </w:r>
    </w:p>
    <w:p>
      <w:pPr>
        <w:pStyle w:val="FirstParagraph"/>
      </w:pPr>
      <w:r>
        <w:t xml:space="preserve">La ejecución es la realización de los servicios acordados en la fase de contratación.</w:t>
      </w:r>
    </w:p>
    <w:p>
      <w:pPr>
        <w:pStyle w:val="BodyText"/>
      </w:pPr>
      <w:r>
        <w:t xml:space="preserve">Más allá de la prestación de los servicios acordados y de la realización del encargo, el objetivo último de la fase de ejecución es cumplir el acuerdo.</w:t>
      </w:r>
    </w:p>
    <w:bookmarkEnd w:id="71"/>
    <w:bookmarkStart w:id="72" w:name="propósito-1"/>
    <w:p>
      <w:pPr>
        <w:pStyle w:val="Heading3"/>
      </w:pPr>
      <w:r>
        <w:t xml:space="preserve">6.2 Propósito</w:t>
      </w:r>
    </w:p>
    <w:p>
      <w:pPr>
        <w:pStyle w:val="FirstParagraph"/>
      </w:pPr>
      <w:r>
        <w:t xml:space="preserve">El propósito de esta fase es entregar lo que se ha acordado.</w:t>
      </w:r>
    </w:p>
    <w:bookmarkEnd w:id="72"/>
    <w:bookmarkStart w:id="73" w:name="entrada-1"/>
    <w:p>
      <w:pPr>
        <w:pStyle w:val="Heading3"/>
      </w:pPr>
      <w:r>
        <w:t xml:space="preserve">6.3 Entrada</w:t>
      </w:r>
    </w:p>
    <w:p>
      <w:pPr>
        <w:pStyle w:val="FirstParagraph"/>
      </w:pPr>
      <w:r>
        <w:t xml:space="preserve">La ejecución no debería comenzar hasta que exista un acuerdo.</w:t>
      </w:r>
    </w:p>
    <w:p>
      <w:pPr>
        <w:pStyle w:val="BodyText"/>
      </w:pPr>
      <w:r>
        <w:t xml:space="preserve">Los cambios significativos en el contexto del encargo que tengan un impacto en la ejecución pueden requerir que se renegocie el acuerdo.</w:t>
      </w:r>
    </w:p>
    <w:bookmarkEnd w:id="73"/>
    <w:bookmarkStart w:id="74" w:name="resultado-1"/>
    <w:p>
      <w:pPr>
        <w:pStyle w:val="Heading3"/>
      </w:pPr>
      <w:r>
        <w:t xml:space="preserve">6.4 Resultado</w:t>
      </w:r>
    </w:p>
    <w:p>
      <w:pPr>
        <w:pStyle w:val="FirstParagraph"/>
      </w:pPr>
      <w:r>
        <w:t xml:space="preserve">Los resultados deberían ser:</w:t>
      </w:r>
    </w:p>
    <w:p>
      <w:pPr>
        <w:pStyle w:val="BodyText"/>
      </w:pPr>
      <w:r>
        <w:t xml:space="preserve">— servicios y entregables;</w:t>
      </w:r>
      <w:r>
        <w:t xml:space="preserve"> </w:t>
      </w:r>
      <w:r>
        <w:t xml:space="preserve">— recomendaciones y enfoque para el futuro, si procede;</w:t>
      </w:r>
      <w:r>
        <w:t xml:space="preserve"> </w:t>
      </w:r>
      <w:r>
        <w:t xml:space="preserve">— evaluación y mejora continuas.</w:t>
      </w:r>
    </w:p>
    <w:bookmarkEnd w:id="74"/>
    <w:bookmarkStart w:id="89" w:name="contenidos-1"/>
    <w:p>
      <w:pPr>
        <w:pStyle w:val="Heading3"/>
      </w:pPr>
      <w:r>
        <w:t xml:space="preserve">6.5 Contenidos</w:t>
      </w:r>
    </w:p>
    <w:bookmarkStart w:id="75" w:name="generalidades-5"/>
    <w:p>
      <w:pPr>
        <w:pStyle w:val="Heading4"/>
      </w:pPr>
      <w:r>
        <w:t xml:space="preserve">6.5.1 Generalidades</w:t>
      </w:r>
    </w:p>
    <w:p>
      <w:pPr>
        <w:pStyle w:val="FirstParagraph"/>
      </w:pPr>
      <w:r>
        <w:t xml:space="preserve">Los componentes de la fase de ejecución deberían incluir:</w:t>
      </w:r>
    </w:p>
    <w:p>
      <w:pPr>
        <w:pStyle w:val="BodyText"/>
      </w:pPr>
      <w:r>
        <w:t xml:space="preserve">— perfeccionamiento del plan de trabajo acordado;</w:t>
      </w:r>
      <w:r>
        <w:t xml:space="preserve"> </w:t>
      </w:r>
      <w:r>
        <w:t xml:space="preserve">— implementación del plan de trabajo;</w:t>
      </w:r>
      <w:r>
        <w:t xml:space="preserve"> </w:t>
      </w:r>
      <w:r>
        <w:t xml:space="preserve">— gestión y seguimiento del encargo;</w:t>
      </w:r>
      <w:r>
        <w:t xml:space="preserve"> </w:t>
      </w:r>
      <w:r>
        <w:t xml:space="preserve">— aprobaciones y aceptación.</w:t>
      </w:r>
    </w:p>
    <w:bookmarkEnd w:id="75"/>
    <w:bookmarkStart w:id="76" w:name="Xe93d6fa76dda0d2d6908cbc87fea9565cf40f49"/>
    <w:p>
      <w:pPr>
        <w:pStyle w:val="Heading4"/>
      </w:pPr>
      <w:r>
        <w:t xml:space="preserve">6.5.2 Perfeccionamiento del plan de trabajo acordado</w:t>
      </w:r>
    </w:p>
    <w:p>
      <w:pPr>
        <w:pStyle w:val="FirstParagraph"/>
      </w:pPr>
      <w:r>
        <w:t xml:space="preserve">El plan de trabajo acordado en la fase de contratación debería perfeccionarse en detalle para reflejar las condiciones reales al inicio de la fase de ejecución. El MCSP debería involucrar al cliente y al destinatario para obtener la aprobación del plan perfeccionado.</w:t>
      </w:r>
    </w:p>
    <w:bookmarkEnd w:id="76"/>
    <w:bookmarkStart w:id="77" w:name="implementación-del-plan-de-trabajo"/>
    <w:p>
      <w:pPr>
        <w:pStyle w:val="Heading4"/>
      </w:pPr>
      <w:r>
        <w:t xml:space="preserve">6.5.3 Implementación del plan de trabajo</w:t>
      </w:r>
    </w:p>
    <w:p>
      <w:pPr>
        <w:pStyle w:val="FirstParagraph"/>
      </w:pPr>
      <w:r>
        <w:t xml:space="preserve">El encargo debería llevarse a cabo de acuerdo con el plan de trabajo perfeccionado.</w:t>
      </w:r>
    </w:p>
    <w:p>
      <w:pPr>
        <w:pStyle w:val="BodyText"/>
      </w:pPr>
      <w:r>
        <w:t xml:space="preserve">No existe un único método de implementación; sin embargo, un encargo típico puede consistir en los siguientes pasos que realiza el MCSP con el destinatario:</w:t>
      </w:r>
    </w:p>
    <w:p>
      <w:pPr>
        <w:pStyle w:val="BodyText"/>
      </w:pPr>
      <w:r>
        <w:t xml:space="preserve">—</w:t>
      </w:r>
      <w:r>
        <w:t xml:space="preserve"> </w:t>
      </w:r>
      <w:r>
        <w:rPr>
          <w:iCs/>
          <w:i/>
        </w:rPr>
        <w:t xml:space="preserve">Preparar:</w:t>
      </w:r>
      <w:r>
        <w:t xml:space="preserve"> </w:t>
      </w:r>
      <w:r>
        <w:t xml:space="preserve">incluye recopilar los datos pertinentes, analizarlos con hipótesis razonables, revisar los modelos de negocio y enumerar los problemas;</w:t>
      </w:r>
      <w:r>
        <w:t xml:space="preserve"> </w:t>
      </w:r>
      <w:r>
        <w:t xml:space="preserve">—</w:t>
      </w:r>
      <w:r>
        <w:t xml:space="preserve"> </w:t>
      </w:r>
      <w:r>
        <w:rPr>
          <w:iCs/>
          <w:i/>
        </w:rPr>
        <w:t xml:space="preserve">Analizar opciones:</w:t>
      </w:r>
      <w:r>
        <w:t xml:space="preserve"> </w:t>
      </w:r>
      <w:r>
        <w:t xml:space="preserve">incluye el análisis de diferentes opciones para abordar los problemas y la preselección de las opciones más apropiadas;</w:t>
      </w:r>
      <w:r>
        <w:t xml:space="preserve"> </w:t>
      </w:r>
      <w:r>
        <w:t xml:space="preserve">—</w:t>
      </w:r>
      <w:r>
        <w:t xml:space="preserve"> </w:t>
      </w:r>
      <w:r>
        <w:rPr>
          <w:iCs/>
          <w:i/>
        </w:rPr>
        <w:t xml:space="preserve">Recomendar:</w:t>
      </w:r>
      <w:r>
        <w:t xml:space="preserve"> </w:t>
      </w:r>
      <w:r>
        <w:t xml:space="preserve">incluye recomendar soluciones apropiadas a partir de la situación existente, junto con una hoja de ruta de implementación y los resultados esperados;</w:t>
      </w:r>
      <w:r>
        <w:t xml:space="preserve"> </w:t>
      </w:r>
      <w:r>
        <w:t xml:space="preserve">—</w:t>
      </w:r>
      <w:r>
        <w:t xml:space="preserve"> </w:t>
      </w:r>
      <w:r>
        <w:rPr>
          <w:iCs/>
          <w:i/>
        </w:rPr>
        <w:t xml:space="preserve">Obtener la decisión:</w:t>
      </w:r>
      <w:r>
        <w:t xml:space="preserve"> </w:t>
      </w:r>
      <w:r>
        <w:t xml:space="preserve">incluye la presentación de las recomendaciones al cliente o al destinatario para su decisión y aceptación;</w:t>
      </w:r>
      <w:r>
        <w:t xml:space="preserve"> </w:t>
      </w:r>
      <w:r>
        <w:t xml:space="preserve">—</w:t>
      </w:r>
      <w:r>
        <w:t xml:space="preserve"> </w:t>
      </w:r>
      <w:r>
        <w:rPr>
          <w:iCs/>
          <w:i/>
        </w:rPr>
        <w:t xml:space="preserve">Implementar:</w:t>
      </w:r>
      <w:r>
        <w:t xml:space="preserve"> </w:t>
      </w:r>
      <w:r>
        <w:t xml:space="preserve">incluye la ejecución de las recomendaciones, el seguimiento del progreso realizado y la medición de los resultados (aplicable únicamente cuando la implementación se especifica en el acuerdo).</w:t>
      </w:r>
    </w:p>
    <w:bookmarkEnd w:id="77"/>
    <w:bookmarkStart w:id="87" w:name="gestión-y-seguimiento-del-encargo"/>
    <w:p>
      <w:pPr>
        <w:pStyle w:val="Heading4"/>
      </w:pPr>
      <w:r>
        <w:t xml:space="preserve">6.5.4 Gestión y seguimiento del encargo</w:t>
      </w:r>
    </w:p>
    <w:bookmarkStart w:id="78" w:name="generalidades-6"/>
    <w:p>
      <w:pPr>
        <w:pStyle w:val="Heading5"/>
      </w:pPr>
      <w:r>
        <w:t xml:space="preserve">6.5.4.1 Generalidades</w:t>
      </w:r>
    </w:p>
    <w:p>
      <w:pPr>
        <w:pStyle w:val="FirstParagraph"/>
      </w:pPr>
      <w:r>
        <w:t xml:space="preserve">La planificación y la coordinación continua entre el cliente, el destinatario y el MCSP son esenciales para el éxito del encargo.</w:t>
      </w:r>
    </w:p>
    <w:p>
      <w:pPr>
        <w:pStyle w:val="BodyText"/>
      </w:pPr>
      <w:r>
        <w:t xml:space="preserve">Para que el encargo se preste con éxito, deberían considerarse varias áreas de actividad, entre ellas:</w:t>
      </w:r>
    </w:p>
    <w:p>
      <w:pPr>
        <w:pStyle w:val="BodyText"/>
      </w:pPr>
      <w:r>
        <w:t xml:space="preserve">— gobernanza del proyecto;</w:t>
      </w:r>
      <w:r>
        <w:t xml:space="preserve"> </w:t>
      </w:r>
      <w:r>
        <w:t xml:space="preserve">— enfoque de gestión del proyecto;</w:t>
      </w:r>
      <w:r>
        <w:t xml:space="preserve"> </w:t>
      </w:r>
      <w:r>
        <w:t xml:space="preserve">— gestión de recursos;</w:t>
      </w:r>
      <w:r>
        <w:t xml:space="preserve"> </w:t>
      </w:r>
      <w:r>
        <w:t xml:space="preserve">— compromiso de recursos;</w:t>
      </w:r>
      <w:r>
        <w:t xml:space="preserve"> </w:t>
      </w:r>
      <w:r>
        <w:t xml:space="preserve">— seguimiento del progreso y control de cambios;</w:t>
      </w:r>
      <w:r>
        <w:t xml:space="preserve"> </w:t>
      </w:r>
      <w:r>
        <w:t xml:space="preserve">— gestión de riesgos y de la calidad;</w:t>
      </w:r>
      <w:r>
        <w:t xml:space="preserve"> </w:t>
      </w:r>
      <w:r>
        <w:t xml:space="preserve">— comunicación e informes;</w:t>
      </w:r>
      <w:r>
        <w:t xml:space="preserve"> </w:t>
      </w:r>
      <w:r>
        <w:t xml:space="preserve">— evaluación y retroalimentación.</w:t>
      </w:r>
    </w:p>
    <w:bookmarkEnd w:id="78"/>
    <w:bookmarkStart w:id="79" w:name="gobernanza-del-proyecto-1"/>
    <w:p>
      <w:pPr>
        <w:pStyle w:val="Heading5"/>
      </w:pPr>
      <w:r>
        <w:t xml:space="preserve">6.5.4.2 Gobernanza del proyecto</w:t>
      </w:r>
    </w:p>
    <w:p>
      <w:pPr>
        <w:pStyle w:val="FirstParagraph"/>
      </w:pPr>
      <w:r>
        <w:t xml:space="preserve">Las decisiones finales sobre el encargo deberían ser tomadas por el cliente. El MCSP debería hacer esfuerzos razonables para proporcionar al cliente, de manera continua, la información pertinente relativa al encargo.</w:t>
      </w:r>
    </w:p>
    <w:p>
      <w:pPr>
        <w:pStyle w:val="BodyText"/>
      </w:pPr>
      <w:r>
        <w:t xml:space="preserve">Las controversias entre el cliente y el MCSP deberían tratarse de acuerdo con los términos del acuerdo.</w:t>
      </w:r>
    </w:p>
    <w:bookmarkEnd w:id="79"/>
    <w:bookmarkStart w:id="80" w:name="enfoque-de-gestión-del-proyecto"/>
    <w:p>
      <w:pPr>
        <w:pStyle w:val="Heading5"/>
      </w:pPr>
      <w:r>
        <w:t xml:space="preserve">6.5.4.3 Enfoque de gestión del proyecto</w:t>
      </w:r>
    </w:p>
    <w:p>
      <w:pPr>
        <w:pStyle w:val="FirstParagraph"/>
      </w:pPr>
      <w:r>
        <w:t xml:space="preserve">El MCSP debería ceñirse al enfoque y a la estructura de gestión del proyecto acordados durante todo el encargo.</w:t>
      </w:r>
    </w:p>
    <w:p>
      <w:pPr>
        <w:pStyle w:val="BodyText"/>
      </w:pPr>
      <w:r>
        <w:t xml:space="preserve">El MCSP debería asegurarse de que el encargo se lleve a cabo de manera eficaz y eficiente.</w:t>
      </w:r>
    </w:p>
    <w:bookmarkEnd w:id="80"/>
    <w:bookmarkStart w:id="81" w:name="gestión-de-recursos"/>
    <w:p>
      <w:pPr>
        <w:pStyle w:val="Heading5"/>
      </w:pPr>
      <w:r>
        <w:t xml:space="preserve">6.5.4.4 Gestión de recursos</w:t>
      </w:r>
    </w:p>
    <w:p>
      <w:pPr>
        <w:pStyle w:val="FirstParagraph"/>
      </w:pPr>
      <w:r>
        <w:t xml:space="preserve">Todos los recursos que intervienen en el encargo deberían ponerse a disposición y gestionarse de acuerdo con el acuerdo entre el MCSP y el cliente.</w:t>
      </w:r>
    </w:p>
    <w:p>
      <w:pPr>
        <w:pStyle w:val="BodyText"/>
      </w:pPr>
      <w:r>
        <w:t xml:space="preserve">El despliegue por parte del MCSP de recursos humanos adecuados es responsabilidad del MCSP. Los criterios de idoneidad podrían incluir la experiencia pertinente en el dominio, las habilidades de consultoría y las habilidades con las personas.</w:t>
      </w:r>
    </w:p>
    <w:p>
      <w:pPr>
        <w:pStyle w:val="BodyText"/>
      </w:pPr>
      <w:r>
        <w:t xml:space="preserve">NOTA — Véase el Anexo F para ejemplos de criterios para evaluar la capacidad.</w:t>
      </w:r>
    </w:p>
    <w:bookmarkEnd w:id="81"/>
    <w:bookmarkStart w:id="82" w:name="compromiso-de-recursos"/>
    <w:p>
      <w:pPr>
        <w:pStyle w:val="Heading5"/>
      </w:pPr>
      <w:r>
        <w:t xml:space="preserve">6.5.4.5 Compromiso de recursos</w:t>
      </w:r>
    </w:p>
    <w:p>
      <w:pPr>
        <w:pStyle w:val="FirstParagraph"/>
      </w:pPr>
      <w:r>
        <w:t xml:space="preserve">El MCSP debería prever las necesidades y la disponibilidad de los recursos del cliente y del destinatario y planificar los recursos de acuerdo con ellas. Esto se hace para que todas las personas que intervienen en el encargo se comprometan efectivamente en el tiempo.</w:t>
      </w:r>
    </w:p>
    <w:bookmarkEnd w:id="82"/>
    <w:bookmarkStart w:id="83" w:name="X803ce291825e9d2ef74460e743be87a70ec8f68"/>
    <w:p>
      <w:pPr>
        <w:pStyle w:val="Heading5"/>
      </w:pPr>
      <w:r>
        <w:t xml:space="preserve">6.5.4.6 Seguimiento del progreso y control de cambios</w:t>
      </w:r>
    </w:p>
    <w:p>
      <w:pPr>
        <w:pStyle w:val="FirstParagraph"/>
      </w:pPr>
      <w:r>
        <w:t xml:space="preserve">El progreso del encargo con respecto al plan de trabajo debería monitorearse y registrarse formalmente utilizando métodos de análisis y seguimiento apropiados.</w:t>
      </w:r>
    </w:p>
    <w:p>
      <w:pPr>
        <w:pStyle w:val="BodyText"/>
      </w:pPr>
      <w:r>
        <w:t xml:space="preserve">Debería existir un sistema o proceso de control de cambios, que incluya la gestión de los registros, para tratar los asuntos que tengan impacto en el encargo, tales como:</w:t>
      </w:r>
    </w:p>
    <w:p>
      <w:pPr>
        <w:pStyle w:val="BodyText"/>
      </w:pPr>
      <w:r>
        <w:t xml:space="preserve">— desviaciones del plan de trabajo;</w:t>
      </w:r>
      <w:r>
        <w:t xml:space="preserve"> </w:t>
      </w:r>
      <w:r>
        <w:t xml:space="preserve">— cambio del contexto del encargo;</w:t>
      </w:r>
      <w:r>
        <w:t xml:space="preserve"> </w:t>
      </w:r>
      <w:r>
        <w:t xml:space="preserve">— cambios en el entorno operativo del cliente o del destinatario;</w:t>
      </w:r>
      <w:r>
        <w:t xml:space="preserve"> </w:t>
      </w:r>
      <w:r>
        <w:t xml:space="preserve">— cambios en las expectativas del cliente;</w:t>
      </w:r>
      <w:r>
        <w:t xml:space="preserve"> </w:t>
      </w:r>
      <w:r>
        <w:t xml:space="preserve">— cambios en el MCSP.</w:t>
      </w:r>
    </w:p>
    <w:p>
      <w:pPr>
        <w:pStyle w:val="BodyText"/>
      </w:pPr>
      <w:r>
        <w:t xml:space="preserve">Puede haber cambios significativos que estén fuera del alcance del proceso de control de cambios. Estos pueden considerarse como nuevas entradas de la fase de contratación y/o de ejecución (véanse 5.3 y 6.3) y pueden requerir que el acuerdo se renegocie entre el cliente, el destinatario y el MCSP.</w:t>
      </w:r>
    </w:p>
    <w:bookmarkEnd w:id="83"/>
    <w:bookmarkStart w:id="84" w:name="gestión-de-riesgos-y-de-la-calidad-1"/>
    <w:p>
      <w:pPr>
        <w:pStyle w:val="Heading5"/>
      </w:pPr>
      <w:r>
        <w:t xml:space="preserve">6.5.4.7 Gestión de riesgos y de la calidad</w:t>
      </w:r>
    </w:p>
    <w:p>
      <w:pPr>
        <w:pStyle w:val="FirstParagraph"/>
      </w:pPr>
      <w:r>
        <w:t xml:space="preserve">El cliente y el MCSP deberían seguir la metodología de gestión de riesgos y de la calidad acordada para asegurar que se preste el servicio acordado y se entreguen los productos de salida.</w:t>
      </w:r>
    </w:p>
    <w:p>
      <w:pPr>
        <w:pStyle w:val="BodyText"/>
      </w:pPr>
      <w:r>
        <w:t xml:space="preserve">NOTA — Véase el Anexo G para ejemplos de directrices para el MCSP sobre gestión de riesgos típicos, que están relacionados con la gestión de un encargo.</w:t>
      </w:r>
    </w:p>
    <w:bookmarkEnd w:id="84"/>
    <w:bookmarkStart w:id="85" w:name="comunicaciones-e-informes"/>
    <w:p>
      <w:pPr>
        <w:pStyle w:val="Heading5"/>
      </w:pPr>
      <w:r>
        <w:t xml:space="preserve">6.5.4.8 Comunicaciones e informes</w:t>
      </w:r>
    </w:p>
    <w:p>
      <w:pPr>
        <w:pStyle w:val="FirstParagraph"/>
      </w:pPr>
      <w:r>
        <w:t xml:space="preserve">Los principios de comunicación acordados en la fase de contratación deberían seguirse durante todo el encargo y deberían incluir informes periódicos sobre el progreso y los riesgos.</w:t>
      </w:r>
    </w:p>
    <w:bookmarkEnd w:id="85"/>
    <w:bookmarkStart w:id="86" w:name="evaluación-y-retroalimentación"/>
    <w:p>
      <w:pPr>
        <w:pStyle w:val="Heading5"/>
      </w:pPr>
      <w:r>
        <w:t xml:space="preserve">6.5.4.9 Evaluación y retroalimentación</w:t>
      </w:r>
    </w:p>
    <w:p>
      <w:pPr>
        <w:pStyle w:val="FirstParagraph"/>
      </w:pPr>
      <w:r>
        <w:t xml:space="preserve">El MCSP debería seguir la metodología de evaluación continua y el enfoque de retroalimentación acordados.</w:t>
      </w:r>
    </w:p>
    <w:bookmarkEnd w:id="86"/>
    <w:bookmarkEnd w:id="87"/>
    <w:bookmarkStart w:id="88" w:name="aprobaciones-y-aceptación"/>
    <w:p>
      <w:pPr>
        <w:pStyle w:val="Heading4"/>
      </w:pPr>
      <w:r>
        <w:t xml:space="preserve">6.5.5 Aprobaciones y aceptación</w:t>
      </w:r>
    </w:p>
    <w:p>
      <w:pPr>
        <w:pStyle w:val="FirstParagraph"/>
      </w:pPr>
      <w:r>
        <w:t xml:space="preserve">Debería existir un proceso acordado para aprobar y aceptar todos los servicios prestados durante el encargo. Las implicaciones comerciales de la aceptación o el rechazo deberían tratarse de acuerdo con el acuerdo.</w:t>
      </w:r>
    </w:p>
    <w:bookmarkEnd w:id="88"/>
    <w:bookmarkEnd w:id="89"/>
    <w:bookmarkEnd w:id="90"/>
    <w:bookmarkStart w:id="101" w:name="cierre"/>
    <w:p>
      <w:pPr>
        <w:pStyle w:val="Heading2"/>
      </w:pPr>
      <w:r>
        <w:t xml:space="preserve">7 Cierre</w:t>
      </w:r>
    </w:p>
    <w:bookmarkStart w:id="91" w:name="generalidades-7"/>
    <w:p>
      <w:pPr>
        <w:pStyle w:val="Heading3"/>
      </w:pPr>
      <w:r>
        <w:t xml:space="preserve">7.1 Generalidades</w:t>
      </w:r>
    </w:p>
    <w:p>
      <w:pPr>
        <w:pStyle w:val="FirstParagraph"/>
      </w:pPr>
      <w:r>
        <w:t xml:space="preserve">El encargo se completa cuando concluye el proceso de aceptación, tal como se define en el acuerdo.</w:t>
      </w:r>
    </w:p>
    <w:p>
      <w:pPr>
        <w:pStyle w:val="BodyText"/>
      </w:pPr>
      <w:r>
        <w:t xml:space="preserve">El MCSP no debería considerar el encargo cerrado hasta que se hayan abordado los temas finales de cierre. Estos incluyen:</w:t>
      </w:r>
    </w:p>
    <w:p>
      <w:pPr>
        <w:pStyle w:val="BodyText"/>
      </w:pPr>
      <w:r>
        <w:t xml:space="preserve">— asuntos legales y contractuales;</w:t>
      </w:r>
      <w:r>
        <w:t xml:space="preserve"> </w:t>
      </w:r>
      <w:r>
        <w:t xml:space="preserve">— evaluación final y mejora;</w:t>
      </w:r>
      <w:r>
        <w:t xml:space="preserve"> </w:t>
      </w:r>
      <w:r>
        <w:t xml:space="preserve">— asuntos administrativos, incluido el pago de los honorarios acordados cuando corresponda;</w:t>
      </w:r>
      <w:r>
        <w:t xml:space="preserve"> </w:t>
      </w:r>
      <w:r>
        <w:t xml:space="preserve">— comunicación;</w:t>
      </w:r>
      <w:r>
        <w:t xml:space="preserve"> </w:t>
      </w:r>
      <w:r>
        <w:t xml:space="preserve">— derechos de propiedad intelectual;</w:t>
      </w:r>
      <w:r>
        <w:t xml:space="preserve"> </w:t>
      </w:r>
      <w:r>
        <w:t xml:space="preserve">— asuntos menores pendientes.</w:t>
      </w:r>
    </w:p>
    <w:bookmarkEnd w:id="91"/>
    <w:bookmarkStart w:id="92" w:name="propósito-2"/>
    <w:p>
      <w:pPr>
        <w:pStyle w:val="Heading3"/>
      </w:pPr>
      <w:r>
        <w:t xml:space="preserve">7.2 Propósito</w:t>
      </w:r>
    </w:p>
    <w:p>
      <w:pPr>
        <w:pStyle w:val="FirstParagraph"/>
      </w:pPr>
      <w:r>
        <w:t xml:space="preserve">El propósito de la fase de cierre es lograr una finalización ordenada del encargo, tras completar la prestación del servicio de acuerdo con el acuerdo.</w:t>
      </w:r>
    </w:p>
    <w:bookmarkEnd w:id="92"/>
    <w:bookmarkStart w:id="93" w:name="entrada-2"/>
    <w:p>
      <w:pPr>
        <w:pStyle w:val="Heading3"/>
      </w:pPr>
      <w:r>
        <w:t xml:space="preserve">7.3 Entrada</w:t>
      </w:r>
    </w:p>
    <w:p>
      <w:pPr>
        <w:pStyle w:val="FirstParagraph"/>
      </w:pPr>
      <w:r>
        <w:t xml:space="preserve">El proceso de cierre comienza cuando se toma la decisión de que el encargo está completo, normalmente cuando el servicio acordado ha sido prestado y aceptado.</w:t>
      </w:r>
    </w:p>
    <w:p>
      <w:pPr>
        <w:pStyle w:val="BodyText"/>
      </w:pPr>
      <w:r>
        <w:t xml:space="preserve">Un encargo puede darse por terminado antes de que se haya prestado el servicio originalmente acordado. En este caso, el proceso de cierre puede tener que realizarse con base en un acuerdo revisado.</w:t>
      </w:r>
    </w:p>
    <w:bookmarkEnd w:id="93"/>
    <w:bookmarkStart w:id="94" w:name="resultado-2"/>
    <w:p>
      <w:pPr>
        <w:pStyle w:val="Heading3"/>
      </w:pPr>
      <w:r>
        <w:t xml:space="preserve">7.4 Resultado</w:t>
      </w:r>
    </w:p>
    <w:p>
      <w:pPr>
        <w:pStyle w:val="FirstParagraph"/>
      </w:pPr>
      <w:r>
        <w:t xml:space="preserve">El proceso de cierre da lugar a una serie de resultados, entre ellos:</w:t>
      </w:r>
    </w:p>
    <w:p>
      <w:pPr>
        <w:pStyle w:val="BodyText"/>
      </w:pPr>
      <w:r>
        <w:t xml:space="preserve">— liberación de todas las partes de sus obligaciones en el acuerdo;</w:t>
      </w:r>
      <w:r>
        <w:t xml:space="preserve"> </w:t>
      </w:r>
      <w:r>
        <w:t xml:space="preserve">— comprensión compartida de las obligaciones que continúan entre todas las partes interesadas, en particular el MCSP y el cliente (p. ej., garantías, confidencialidad, protección de datos, derechos intelectuales, asuntos pendientes, etc.);</w:t>
      </w:r>
      <w:r>
        <w:t xml:space="preserve"> </w:t>
      </w:r>
      <w:r>
        <w:t xml:space="preserve">— liquidación financiera de facturas, gastos, etc.</w:t>
      </w:r>
    </w:p>
    <w:bookmarkEnd w:id="94"/>
    <w:bookmarkStart w:id="100" w:name="contenidos-2"/>
    <w:p>
      <w:pPr>
        <w:pStyle w:val="Heading3"/>
      </w:pPr>
      <w:r>
        <w:t xml:space="preserve">7.5 Contenidos</w:t>
      </w:r>
    </w:p>
    <w:bookmarkStart w:id="95" w:name="asuntos-legales-y-contractuales"/>
    <w:p>
      <w:pPr>
        <w:pStyle w:val="Heading4"/>
      </w:pPr>
      <w:r>
        <w:t xml:space="preserve">7.5.1 Asuntos legales y contractuales</w:t>
      </w:r>
    </w:p>
    <w:p>
      <w:pPr>
        <w:pStyle w:val="FirstParagraph"/>
      </w:pPr>
      <w:r>
        <w:t xml:space="preserve">El MCSP debería contar con procesos eficaces para asegurar que todos los asuntos legales y contractuales se traten de manera oportuna y eficiente, de acuerdo con el acuerdo. Estos procesos incluyen:</w:t>
      </w:r>
    </w:p>
    <w:p>
      <w:pPr>
        <w:pStyle w:val="BodyText"/>
      </w:pPr>
      <w:r>
        <w:t xml:space="preserve">— facturación y pago;</w:t>
      </w:r>
      <w:r>
        <w:t xml:space="preserve"> </w:t>
      </w:r>
      <w:r>
        <w:t xml:space="preserve">— conciliación de los gastos del MCSP;</w:t>
      </w:r>
      <w:r>
        <w:t xml:space="preserve"> </w:t>
      </w:r>
      <w:r>
        <w:t xml:space="preserve">— firma formal y aceptación;</w:t>
      </w:r>
      <w:r>
        <w:t xml:space="preserve"> </w:t>
      </w:r>
      <w:r>
        <w:t xml:space="preserve">— liberación de recursos (incluidos los subcontratistas);</w:t>
      </w:r>
      <w:r>
        <w:t xml:space="preserve"> </w:t>
      </w:r>
      <w:r>
        <w:t xml:space="preserve">— garantías y avales;</w:t>
      </w:r>
      <w:r>
        <w:t xml:space="preserve"> </w:t>
      </w:r>
      <w:r>
        <w:t xml:space="preserve">— confidencialidad con terceros;</w:t>
      </w:r>
      <w:r>
        <w:t xml:space="preserve"> </w:t>
      </w:r>
      <w:r>
        <w:t xml:space="preserve">— titularidad de los derechos de propiedad intelectual;</w:t>
      </w:r>
      <w:r>
        <w:t xml:space="preserve"> </w:t>
      </w:r>
      <w:r>
        <w:t xml:space="preserve">— obligaciones que permanecen tras el cierre (p. ej., legales, confidencialidad, protección de los derechos de propiedad intelectual, protección de datos, no competencia, asuntos pendientes, etc.).</w:t>
      </w:r>
    </w:p>
    <w:bookmarkEnd w:id="95"/>
    <w:bookmarkStart w:id="96" w:name="evaluación-final-y-mejora"/>
    <w:p>
      <w:pPr>
        <w:pStyle w:val="Heading4"/>
      </w:pPr>
      <w:r>
        <w:t xml:space="preserve">7.5.2 Evaluación final y mejora</w:t>
      </w:r>
    </w:p>
    <w:p>
      <w:pPr>
        <w:pStyle w:val="FirstParagraph"/>
      </w:pPr>
      <w:r>
        <w:t xml:space="preserve">Incluso si en el acuerdo no se incluye ninguna evaluación, el MCSP debería contar con un proceso para recopilar retroalimentación y aprender del trabajo que realiza, de modo que pueda registrar la información y el conocimiento creados durante el proyecto y aplicarlos para la mejora.</w:t>
      </w:r>
    </w:p>
    <w:p>
      <w:pPr>
        <w:pStyle w:val="BodyText"/>
      </w:pPr>
      <w:r>
        <w:t xml:space="preserve">Puede requerirse una evaluación por razones contractuales para determinar los honorarios pagados. Si es así, el MCSP y el cliente deberían acordar el método de evaluación más apropiado.</w:t>
      </w:r>
    </w:p>
    <w:p>
      <w:pPr>
        <w:pStyle w:val="BodyText"/>
      </w:pPr>
      <w:r>
        <w:t xml:space="preserve">Las métricas típicas pueden incluir:</w:t>
      </w:r>
    </w:p>
    <w:p>
      <w:pPr>
        <w:pStyle w:val="BodyText"/>
      </w:pPr>
      <w:r>
        <w:t xml:space="preserve">— innovación (desarrollo de nuevos servicios);</w:t>
      </w:r>
      <w:r>
        <w:t xml:space="preserve"> </w:t>
      </w:r>
      <w:r>
        <w:t xml:space="preserve">— eficacia de los procesos;</w:t>
      </w:r>
      <w:r>
        <w:t xml:space="preserve"> </w:t>
      </w:r>
      <w:r>
        <w:t xml:space="preserve">— mejoras de los procesos;</w:t>
      </w:r>
      <w:r>
        <w:t xml:space="preserve"> </w:t>
      </w:r>
      <w:r>
        <w:t xml:space="preserve">— nuevos sistemas y comportamientos;</w:t>
      </w:r>
      <w:r>
        <w:t xml:space="preserve"> </w:t>
      </w:r>
      <w:r>
        <w:t xml:space="preserve">— metodologías;</w:t>
      </w:r>
      <w:r>
        <w:t xml:space="preserve"> </w:t>
      </w:r>
      <w:r>
        <w:t xml:space="preserve">— desempeño del equipo;</w:t>
      </w:r>
      <w:r>
        <w:t xml:space="preserve"> </w:t>
      </w:r>
      <w:r>
        <w:t xml:space="preserve">— utilización de los recursos;</w:t>
      </w:r>
      <w:r>
        <w:t xml:space="preserve"> </w:t>
      </w:r>
      <w:r>
        <w:t xml:space="preserve">— oportunidades de venta/referencias;</w:t>
      </w:r>
      <w:r>
        <w:t xml:space="preserve"> </w:t>
      </w:r>
      <w:r>
        <w:t xml:space="preserve">— satisfacción del cliente.</w:t>
      </w:r>
    </w:p>
    <w:p>
      <w:pPr>
        <w:pStyle w:val="BodyText"/>
      </w:pPr>
      <w:r>
        <w:t xml:space="preserve">El MCSP debería preferiblemente mantener experiencia en evaluación y debería contar con un proceso sistemático para asegurar que las fortalezas y las oportunidades de mejora se registren y se compartan entre el personal. El MCSP debería contar con procesos para gestionar mejoras tales como:</w:t>
      </w:r>
    </w:p>
    <w:p>
      <w:pPr>
        <w:numPr>
          <w:ilvl w:val="0"/>
          <w:numId w:val="1003"/>
        </w:numPr>
        <w:pStyle w:val="Compact"/>
      </w:pPr>
      <w:r>
        <w:t xml:space="preserve">gestión del conocimiento;</w:t>
      </w:r>
    </w:p>
    <w:p>
      <w:pPr>
        <w:numPr>
          <w:ilvl w:val="0"/>
          <w:numId w:val="1003"/>
        </w:numPr>
        <w:pStyle w:val="Compact"/>
      </w:pPr>
      <w:r>
        <w:t xml:space="preserve">base de conocimiento;</w:t>
      </w:r>
    </w:p>
    <w:p>
      <w:pPr>
        <w:numPr>
          <w:ilvl w:val="0"/>
          <w:numId w:val="1003"/>
        </w:numPr>
        <w:pStyle w:val="Compact"/>
      </w:pPr>
      <w:r>
        <w:t xml:space="preserve">mejoras de tecnología y metodología;</w:t>
      </w:r>
    </w:p>
    <w:p>
      <w:pPr>
        <w:numPr>
          <w:ilvl w:val="0"/>
          <w:numId w:val="1003"/>
        </w:numPr>
        <w:pStyle w:val="Compact"/>
      </w:pPr>
      <w:r>
        <w:t xml:space="preserve">estudios de caso;</w:t>
      </w:r>
    </w:p>
    <w:p>
      <w:pPr>
        <w:numPr>
          <w:ilvl w:val="0"/>
          <w:numId w:val="1003"/>
        </w:numPr>
        <w:pStyle w:val="Compact"/>
      </w:pPr>
      <w:r>
        <w:t xml:space="preserve">formación, sesiones informativas;</w:t>
      </w:r>
    </w:p>
    <w:p>
      <w:pPr>
        <w:numPr>
          <w:ilvl w:val="0"/>
          <w:numId w:val="1003"/>
        </w:numPr>
        <w:pStyle w:val="Compact"/>
      </w:pPr>
      <w:r>
        <w:t xml:space="preserve">comunicación interna.</w:t>
      </w:r>
    </w:p>
    <w:bookmarkEnd w:id="96"/>
    <w:bookmarkStart w:id="97" w:name="asuntos-administrativos"/>
    <w:p>
      <w:pPr>
        <w:pStyle w:val="Heading4"/>
      </w:pPr>
      <w:r>
        <w:t xml:space="preserve">7.5.3 Asuntos administrativos</w:t>
      </w:r>
    </w:p>
    <w:p>
      <w:pPr>
        <w:pStyle w:val="FirstParagraph"/>
      </w:pPr>
      <w:r>
        <w:t xml:space="preserve">El MCSP debería contar con procesos eficaces para asegurar que todos los asuntos administrativos se traten de manera oportuna y eficiente. Estos procesos pueden incluir:</w:t>
      </w:r>
    </w:p>
    <w:p>
      <w:pPr>
        <w:pStyle w:val="BodyText"/>
      </w:pPr>
      <w:r>
        <w:t xml:space="preserve">— indexación, archivo, archivado;</w:t>
      </w:r>
      <w:r>
        <w:t xml:space="preserve"> </w:t>
      </w:r>
      <w:r>
        <w:t xml:space="preserve">— copia de seguridad de datos y registros;</w:t>
      </w:r>
      <w:r>
        <w:t xml:space="preserve"> </w:t>
      </w:r>
      <w:r>
        <w:t xml:space="preserve">— devolución de la propiedad, equipos e instalaciones del cliente (p. ej., archivos, registros, datos, pases de seguridad);</w:t>
      </w:r>
      <w:r>
        <w:t xml:space="preserve"> </w:t>
      </w:r>
      <w:r>
        <w:t xml:space="preserve">— liberación/contratación de subcontratistas y de recursos internos;</w:t>
      </w:r>
      <w:r>
        <w:t xml:space="preserve"> </w:t>
      </w:r>
      <w:r>
        <w:t xml:space="preserve">— finalización de los procedimientos internos de aseguramiento de la calidad.</w:t>
      </w:r>
    </w:p>
    <w:bookmarkEnd w:id="97"/>
    <w:bookmarkStart w:id="98" w:name="comunicación-1"/>
    <w:p>
      <w:pPr>
        <w:pStyle w:val="Heading4"/>
      </w:pPr>
      <w:r>
        <w:t xml:space="preserve">7.5.4 Comunicación</w:t>
      </w:r>
    </w:p>
    <w:p>
      <w:pPr>
        <w:pStyle w:val="FirstParagraph"/>
      </w:pPr>
      <w:r>
        <w:t xml:space="preserve">El MCSP debería asegurarse de que se cumplan las obligaciones relativas a la comunicación sobre el encargo (p. ej., acuerdos de confidencialidad, preparación de estudios de caso, artículos, solicitudes de referencias, etc.).</w:t>
      </w:r>
    </w:p>
    <w:p>
      <w:pPr>
        <w:pStyle w:val="BodyText"/>
      </w:pPr>
      <w:r>
        <w:t xml:space="preserve">El MCSP debería asegurarse de que se realice una sesión de cierre con el cliente al final del encargo.</w:t>
      </w:r>
    </w:p>
    <w:bookmarkEnd w:id="98"/>
    <w:bookmarkStart w:id="99" w:name="asuntos-menores-pendientes"/>
    <w:p>
      <w:pPr>
        <w:pStyle w:val="Heading4"/>
      </w:pPr>
      <w:r>
        <w:t xml:space="preserve">7.5.5 Asuntos menores pendientes</w:t>
      </w:r>
    </w:p>
    <w:p>
      <w:pPr>
        <w:pStyle w:val="FirstParagraph"/>
      </w:pPr>
      <w:r>
        <w:t xml:space="preserve">El MCSP debería contar con un proceso, acordado con el cliente, para tratar cualquier asunto menor pendiente tras la finalización del encargo, de modo que pueda lograrse el cierre.</w:t>
      </w:r>
    </w:p>
    <w:p>
      <w:r>
        <w:pict>
          <v:rect style="width:0;height:1.5pt" o:hralign="center" o:hrstd="t" o:hr="t"/>
        </w:pict>
      </w:r>
    </w:p>
    <w:bookmarkEnd w:id="99"/>
    <w:bookmarkEnd w:id="100"/>
    <w:bookmarkEnd w:id="101"/>
    <w:bookmarkStart w:id="103" w:name="anexo-a"/>
    <w:p>
      <w:pPr>
        <w:pStyle w:val="Heading2"/>
      </w:pPr>
      <w:r>
        <w:t xml:space="preserve">Anexo A</w:t>
      </w:r>
    </w:p>
    <w:p>
      <w:pPr>
        <w:pStyle w:val="FirstParagraph"/>
      </w:pPr>
      <w:r>
        <w:t xml:space="preserve">(informativo)</w:t>
      </w:r>
    </w:p>
    <w:bookmarkStart w:id="102" w:name="X440f117dfb431c3abe6ce3cf47bcefbb5e727ad"/>
    <w:p>
      <w:pPr>
        <w:pStyle w:val="Heading3"/>
      </w:pPr>
      <w:r>
        <w:t xml:space="preserve">Información complementaria sobre las normas ISO</w:t>
      </w:r>
    </w:p>
    <w:p>
      <w:pPr>
        <w:pStyle w:val="FirstParagraph"/>
      </w:pPr>
      <w:r>
        <w:t xml:space="preserve">Para comprender el uso adecuado de las normas ISO redactadas como guía, se recomienda encarecidamente que los usuarios consulten http://www.iso.org/iso/foreword.html, donde se presentan las directivas, resoluciones ISO pertinentes y sus implicaciones.</w:t>
      </w:r>
    </w:p>
    <w:p>
      <w:r>
        <w:pict>
          <v:rect style="width:0;height:1.5pt" o:hralign="center" o:hrstd="t" o:hr="t"/>
        </w:pict>
      </w:r>
    </w:p>
    <w:bookmarkEnd w:id="102"/>
    <w:bookmarkEnd w:id="103"/>
    <w:bookmarkStart w:id="105" w:name="anexo-b"/>
    <w:p>
      <w:pPr>
        <w:pStyle w:val="Heading2"/>
      </w:pPr>
      <w:r>
        <w:t xml:space="preserve">Anexo B</w:t>
      </w:r>
    </w:p>
    <w:p>
      <w:pPr>
        <w:pStyle w:val="FirstParagraph"/>
      </w:pPr>
      <w:r>
        <w:t xml:space="preserve">(informativo)</w:t>
      </w:r>
    </w:p>
    <w:bookmarkStart w:id="104" w:name="ejemplos-de-partes-interesadas-típicas"/>
    <w:p>
      <w:pPr>
        <w:pStyle w:val="Heading3"/>
      </w:pPr>
      <w:r>
        <w:t xml:space="preserve">Ejemplos de partes interesadas típicas</w:t>
      </w:r>
    </w:p>
    <w:p>
      <w:pPr>
        <w:pStyle w:val="FirstParagraph"/>
      </w:pPr>
      <w:r>
        <w:t xml:space="preserve">Los ejemplos de partes interesadas incluyen:</w:t>
      </w:r>
    </w:p>
    <w:p>
      <w:pPr>
        <w:pStyle w:val="BodyText"/>
      </w:pPr>
      <w:r>
        <w:t xml:space="preserve">— clientes,</w:t>
      </w:r>
      <w:r>
        <w:t xml:space="preserve"> </w:t>
      </w:r>
      <w:r>
        <w:t xml:space="preserve">— destinatarios,</w:t>
      </w:r>
      <w:r>
        <w:t xml:space="preserve"> </w:t>
      </w:r>
      <w:r>
        <w:t xml:space="preserve">— público,</w:t>
      </w:r>
      <w:r>
        <w:t xml:space="preserve"> </w:t>
      </w:r>
      <w:r>
        <w:t xml:space="preserve">— organizaciones MCSP,</w:t>
      </w:r>
      <w:r>
        <w:t xml:space="preserve"> </w:t>
      </w:r>
      <w:r>
        <w:t xml:space="preserve">— consultores en gestión,</w:t>
      </w:r>
      <w:r>
        <w:t xml:space="preserve"> </w:t>
      </w:r>
      <w:r>
        <w:t xml:space="preserve">— academia,</w:t>
      </w:r>
      <w:r>
        <w:t xml:space="preserve"> </w:t>
      </w:r>
      <w:r>
        <w:t xml:space="preserve">— organismos sin fines de lucro,</w:t>
      </w:r>
      <w:r>
        <w:t xml:space="preserve"> </w:t>
      </w:r>
      <w:r>
        <w:t xml:space="preserve">— medio ambiente,</w:t>
      </w:r>
      <w:r>
        <w:t xml:space="preserve"> </w:t>
      </w:r>
      <w:r>
        <w:t xml:space="preserve">— proveedores,</w:t>
      </w:r>
      <w:r>
        <w:t xml:space="preserve"> </w:t>
      </w:r>
      <w:r>
        <w:t xml:space="preserve">— gobiernos,</w:t>
      </w:r>
      <w:r>
        <w:t xml:space="preserve"> </w:t>
      </w:r>
      <w:r>
        <w:t xml:space="preserve">— sindicatos,</w:t>
      </w:r>
      <w:r>
        <w:t xml:space="preserve"> </w:t>
      </w:r>
      <w:r>
        <w:t xml:space="preserve">— organismos y asociaciones de consultoría en gestión,</w:t>
      </w:r>
      <w:r>
        <w:t xml:space="preserve"> </w:t>
      </w:r>
      <w:r>
        <w:t xml:space="preserve">— accionistas,</w:t>
      </w:r>
      <w:r>
        <w:t xml:space="preserve"> </w:t>
      </w:r>
      <w:r>
        <w:t xml:space="preserve">— inversores,</w:t>
      </w:r>
      <w:r>
        <w:t xml:space="preserve"> </w:t>
      </w:r>
      <w:r>
        <w:t xml:space="preserve">— personal del cliente,</w:t>
      </w:r>
      <w:r>
        <w:t xml:space="preserve"> </w:t>
      </w:r>
      <w:r>
        <w:t xml:space="preserve">— terceros,</w:t>
      </w:r>
      <w:r>
        <w:t xml:space="preserve"> </w:t>
      </w:r>
      <w:r>
        <w:t xml:space="preserve">— generaciones futuras.</w:t>
      </w:r>
    </w:p>
    <w:p>
      <w:r>
        <w:pict>
          <v:rect style="width:0;height:1.5pt" o:hralign="center" o:hrstd="t" o:hr="t"/>
        </w:pict>
      </w:r>
    </w:p>
    <w:bookmarkEnd w:id="104"/>
    <w:bookmarkEnd w:id="105"/>
    <w:bookmarkStart w:id="107" w:name="anexo-c"/>
    <w:p>
      <w:pPr>
        <w:pStyle w:val="Heading2"/>
      </w:pPr>
      <w:r>
        <w:t xml:space="preserve">Anexo C</w:t>
      </w:r>
    </w:p>
    <w:p>
      <w:pPr>
        <w:pStyle w:val="FirstParagraph"/>
      </w:pPr>
      <w:r>
        <w:t xml:space="preserve">(informativo)</w:t>
      </w:r>
    </w:p>
    <w:bookmarkStart w:id="106" w:name="X73ce2d5bc5cc4b849e1b2e1bcbeba8d7a0f92c5"/>
    <w:p>
      <w:pPr>
        <w:pStyle w:val="Heading3"/>
      </w:pPr>
      <w:r>
        <w:t xml:space="preserve">Estructura básica de las actividades de consultoría</w:t>
      </w:r>
    </w:p>
    <w:p>
      <w:pPr>
        <w:pStyle w:val="FirstParagraph"/>
      </w:pPr>
      <w:r>
        <w:t xml:space="preserve">Las actividades típicas tienen lugar antes, durante y después de un encargo de consultoría. Los ejemplos pueden incluir:</w:t>
      </w:r>
    </w:p>
    <w:p>
      <w:pPr>
        <w:pStyle w:val="BodyText"/>
      </w:pPr>
      <w:r>
        <w:rPr>
          <w:bCs/>
          <w:b/>
        </w:rPr>
        <w:t xml:space="preserve">a) Comprensión del contexto empresarial</w:t>
      </w:r>
    </w:p>
    <w:p>
      <w:pPr>
        <w:pStyle w:val="BodyText"/>
      </w:pPr>
      <w:r>
        <w:t xml:space="preserve">El MCSP invierte tiempo y recursos para comprender el entorno empresarial y comercial del cliente y de la industria del cliente. A menudo, el MCSP dedicará recursos considerables a esta actividad para poder identificar posibles clientes y encargos.</w:t>
      </w:r>
    </w:p>
    <w:p>
      <w:pPr>
        <w:pStyle w:val="BodyText"/>
      </w:pPr>
      <w:r>
        <w:t xml:space="preserve">A menos que esta actividad forme parte de un encargo específico, queda fuera del alcance de este documento.</w:t>
      </w:r>
    </w:p>
    <w:p>
      <w:pPr>
        <w:pStyle w:val="BodyText"/>
      </w:pPr>
      <w:r>
        <w:rPr>
          <w:bCs/>
          <w:b/>
        </w:rPr>
        <w:t xml:space="preserve">b) Comprensión del contexto del cliente</w:t>
      </w:r>
    </w:p>
    <w:p>
      <w:pPr>
        <w:pStyle w:val="BodyText"/>
      </w:pPr>
      <w:r>
        <w:t xml:space="preserve">El MCSP, a veces trabajando con el cliente, invierte tiempo y recursos para comprender el contexto del cliente, incluidas su situación y sus expectativas. A menudo, esta actividad forma parte de la preparación de un encargo y puede dar lugar a la presentación de una propuesta para prestar MCS.</w:t>
      </w:r>
    </w:p>
    <w:p>
      <w:pPr>
        <w:pStyle w:val="BodyText"/>
      </w:pPr>
      <w:r>
        <w:t xml:space="preserve">NOTA — Véase el Anexo H para ejemplos de actividades típicas de comprensión previas al encargo.</w:t>
      </w:r>
    </w:p>
    <w:p>
      <w:pPr>
        <w:pStyle w:val="BodyText"/>
      </w:pPr>
      <w:r>
        <w:t xml:space="preserve">A menos que esta actividad forme parte de un encargo específico, queda fuera del alcance de este documento.</w:t>
      </w:r>
    </w:p>
    <w:p>
      <w:pPr>
        <w:pStyle w:val="BodyText"/>
      </w:pPr>
      <w:r>
        <w:rPr>
          <w:bCs/>
          <w:b/>
        </w:rPr>
        <w:t xml:space="preserve">c) Selección del MCSP</w:t>
      </w:r>
    </w:p>
    <w:p>
      <w:pPr>
        <w:pStyle w:val="BodyText"/>
      </w:pPr>
      <w:r>
        <w:t xml:space="preserve">El cliente establece una relación y adquiere conocimiento de las capacidades del MCSP en relación con los asuntos del cliente, y selecciona al MCSP para llevar a cabo el encargo, teniendo en cuenta muchos factores que normalmente incluyen las propuestas presentadas, los resultados intermedios de la comprensión, como se muestra en las actividades a) y b), y las referencias de otros clientes.</w:t>
      </w:r>
    </w:p>
    <w:p>
      <w:pPr>
        <w:pStyle w:val="BodyText"/>
      </w:pPr>
      <w:r>
        <w:t xml:space="preserve">Esta actividad de compra y venta puede tener lugar en cualquier momento entre las actividades de consultoría. Queda fuera del alcance de este documento.</w:t>
      </w:r>
    </w:p>
    <w:p>
      <w:pPr>
        <w:pStyle w:val="BodyText"/>
      </w:pPr>
      <w:r>
        <w:rPr>
          <w:bCs/>
          <w:b/>
        </w:rPr>
        <w:t xml:space="preserve">d) Contratación</w:t>
      </w:r>
    </w:p>
    <w:p>
      <w:pPr>
        <w:pStyle w:val="BodyText"/>
      </w:pPr>
      <w:r>
        <w:t xml:space="preserve">El cliente y el MCSP alcanzan un acuerdo claro sobre el alcance y el enfoque del servicio que se prestará y se comprometen a trabajar juntos.</w:t>
      </w:r>
    </w:p>
    <w:p>
      <w:pPr>
        <w:pStyle w:val="BodyText"/>
      </w:pPr>
      <w:r>
        <w:t xml:space="preserve">Esta actividad comienza una vez que el cliente y el MCSP han llegado a comprender a la otra parte. [Véanse a), b) y eventualmente c) anteriores.]</w:t>
      </w:r>
    </w:p>
    <w:p>
      <w:pPr>
        <w:pStyle w:val="BodyText"/>
      </w:pPr>
      <w:r>
        <w:rPr>
          <w:bCs/>
          <w:b/>
        </w:rPr>
        <w:t xml:space="preserve">e) Ejecución</w:t>
      </w:r>
    </w:p>
    <w:p>
      <w:pPr>
        <w:pStyle w:val="BodyText"/>
      </w:pPr>
      <w:r>
        <w:t xml:space="preserve">Una vez alcanzado el acuerdo, la siguiente parte del encargo es la ejecución.</w:t>
      </w:r>
    </w:p>
    <w:p>
      <w:pPr>
        <w:pStyle w:val="BodyText"/>
      </w:pPr>
      <w:r>
        <w:t xml:space="preserve">El MCSP presta el servicio de acuerdo con el enfoque y el plan acordados. El MCSP y el cliente necesitan colaborar con confianza, equidad y respeto mutuo para lograr un resultado mutuamente positivo.</w:t>
      </w:r>
    </w:p>
    <w:p>
      <w:pPr>
        <w:pStyle w:val="BodyText"/>
      </w:pPr>
      <w:r>
        <w:rPr>
          <w:bCs/>
          <w:b/>
        </w:rPr>
        <w:t xml:space="preserve">f) Cierre</w:t>
      </w:r>
    </w:p>
    <w:p>
      <w:pPr>
        <w:pStyle w:val="BodyText"/>
      </w:pPr>
      <w:r>
        <w:t xml:space="preserve">La etapa final del encargo es el cierre.</w:t>
      </w:r>
    </w:p>
    <w:p>
      <w:pPr>
        <w:pStyle w:val="BodyText"/>
      </w:pPr>
      <w:r>
        <w:t xml:space="preserve">Tras la finalización del encargo, incluida la entrega de todos los productos de salida y la evaluación de los resultados, el encargo se «cierra» resolviendo cualquier asunto inconcluso y cumpliendo todas las obligaciones contractuales y legales. Es fundamental que el MCSP obtenga del cliente la aceptación de que el encargo está completo.</w:t>
      </w:r>
    </w:p>
    <w:p>
      <w:pPr>
        <w:pStyle w:val="BodyText"/>
      </w:pPr>
      <w:r>
        <w:rPr>
          <w:bCs/>
          <w:b/>
        </w:rPr>
        <w:t xml:space="preserve">g) Seguimiento posterior</w:t>
      </w:r>
    </w:p>
    <w:p>
      <w:pPr>
        <w:pStyle w:val="BodyText"/>
      </w:pPr>
      <w:r>
        <w:t xml:space="preserve">El MCSP mantiene las relaciones con el cliente.</w:t>
      </w:r>
    </w:p>
    <w:p>
      <w:pPr>
        <w:pStyle w:val="BodyText"/>
      </w:pPr>
      <w:r>
        <w:t xml:space="preserve">A menos que esta actividad forme parte de un encargo específico, queda fuera del alcance de este documento.</w:t>
      </w:r>
    </w:p>
    <w:p>
      <w:r>
        <w:pict>
          <v:rect style="width:0;height:1.5pt" o:hralign="center" o:hrstd="t" o:hr="t"/>
        </w:pict>
      </w:r>
    </w:p>
    <w:bookmarkEnd w:id="106"/>
    <w:bookmarkEnd w:id="107"/>
    <w:bookmarkStart w:id="109" w:name="anexo-d"/>
    <w:p>
      <w:pPr>
        <w:pStyle w:val="Heading2"/>
      </w:pPr>
      <w:r>
        <w:t xml:space="preserve">Anexo D</w:t>
      </w:r>
    </w:p>
    <w:p>
      <w:pPr>
        <w:pStyle w:val="FirstParagraph"/>
      </w:pPr>
      <w:r>
        <w:t xml:space="preserve">(informativo)</w:t>
      </w:r>
    </w:p>
    <w:bookmarkStart w:id="108" w:name="Xdc00ea00fbb9cb3741aa7e4041e39cec1a9c642"/>
    <w:p>
      <w:pPr>
        <w:pStyle w:val="Heading3"/>
      </w:pPr>
      <w:r>
        <w:t xml:space="preserve">Ejemplos de directrices para los MCSP sobre un código de conducta</w:t>
      </w:r>
    </w:p>
    <w:p>
      <w:pPr>
        <w:pStyle w:val="FirstParagraph"/>
      </w:pPr>
      <w:r>
        <w:t xml:space="preserve">El propósito de un Código de Conducta (el «Código») es ayudar a los MCSP a servir al público en general, al cliente en particular, a la reputación de la profesión de consultoría en gestión y a cumplir las leyes aplicables. Véase la Tabla D.1.</w:t>
      </w:r>
    </w:p>
    <w:p>
      <w:pPr>
        <w:pStyle w:val="BodyText"/>
      </w:pPr>
      <w:r>
        <w:rPr>
          <w:bCs/>
          <w:b/>
        </w:rPr>
        <w:t xml:space="preserve">Tabla D.1 — Principios éticos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Principio ético</w:t>
            </w:r>
          </w:p>
        </w:tc>
        <w:tc>
          <w:tcPr/>
          <w:p>
            <w:pPr>
              <w:pStyle w:val="Compact"/>
              <w:jc w:val="left"/>
            </w:pPr>
            <w:r>
              <w:t xml:space="preserve">Manifestación del principio</w:t>
            </w:r>
          </w:p>
        </w:tc>
      </w:tr>
      <w:tr>
        <w:tc>
          <w:tcPr/>
          <w:p>
            <w:pPr>
              <w:pStyle w:val="Compact"/>
              <w:jc w:val="left"/>
            </w:pPr>
            <w:r>
              <w:rPr>
                <w:iCs/>
                <w:i/>
              </w:rPr>
              <w:t xml:space="preserve">Responsabilidad ante el público</w:t>
            </w:r>
          </w:p>
        </w:tc>
        <w:tc>
          <w:tcPr/>
          <w:p>
            <w:pPr>
              <w:pStyle w:val="Compact"/>
            </w:pPr>
          </w:p>
        </w:tc>
      </w:tr>
      <w:tr>
        <w:tc>
          <w:tcPr/>
          <w:p>
            <w:pPr>
              <w:pStyle w:val="Compact"/>
              <w:jc w:val="left"/>
            </w:pPr>
            <w:r>
              <w:t xml:space="preserve">Eficiencia</w:t>
            </w:r>
          </w:p>
        </w:tc>
        <w:tc>
          <w:tcPr/>
          <w:p>
            <w:pPr>
              <w:pStyle w:val="Compact"/>
              <w:jc w:val="left"/>
            </w:pPr>
            <w:r>
              <w:t xml:space="preserve">Optimizar los recursos personales, del cliente y de otro tipo para completar un encargo.</w:t>
            </w:r>
          </w:p>
        </w:tc>
      </w:tr>
      <w:tr>
        <w:tc>
          <w:tcPr/>
          <w:p>
            <w:pPr>
              <w:pStyle w:val="Compact"/>
              <w:jc w:val="left"/>
            </w:pPr>
            <w:r>
              <w:t xml:space="preserve">Sostenibilidad</w:t>
            </w:r>
          </w:p>
        </w:tc>
        <w:tc>
          <w:tcPr/>
          <w:p>
            <w:pPr>
              <w:pStyle w:val="Compact"/>
              <w:jc w:val="left"/>
            </w:pPr>
            <w:r>
              <w:t xml:space="preserve">Recomendar soluciones que sean compatibles con los principios del desarrollo sostenible.</w:t>
            </w:r>
          </w:p>
        </w:tc>
      </w:tr>
      <w:tr>
        <w:tc>
          <w:tcPr/>
          <w:p>
            <w:pPr>
              <w:pStyle w:val="Compact"/>
              <w:jc w:val="left"/>
            </w:pPr>
            <w:r>
              <w:t xml:space="preserve">Responsabilidad</w:t>
            </w:r>
          </w:p>
        </w:tc>
        <w:tc>
          <w:tcPr/>
          <w:p>
            <w:pPr>
              <w:pStyle w:val="Compact"/>
              <w:jc w:val="left"/>
            </w:pPr>
            <w:r>
              <w:t xml:space="preserve">Representar los intereses de la industria de la consultoría ante la comunidad en general.</w:t>
            </w:r>
          </w:p>
        </w:tc>
      </w:tr>
      <w:tr>
        <w:tc>
          <w:tcPr/>
          <w:p>
            <w:pPr>
              <w:pStyle w:val="Compact"/>
              <w:jc w:val="left"/>
            </w:pPr>
            <w:r>
              <w:t xml:space="preserve">Legalidad</w:t>
            </w:r>
          </w:p>
        </w:tc>
        <w:tc>
          <w:tcPr/>
          <w:p>
            <w:pPr>
              <w:pStyle w:val="Compact"/>
              <w:jc w:val="left"/>
            </w:pPr>
            <w:r>
              <w:t xml:space="preserve">Conocer y cumplir las leyes y reglamentos aplicables pertinentes para el encargo.</w:t>
            </w:r>
            <w:r>
              <w:t xml:space="preserve"> </w:t>
            </w:r>
            <w:r>
              <w:t xml:space="preserve"> </w:t>
            </w:r>
            <w:r>
              <w:t xml:space="preserve">No hacer que ninguna persona o personas contravengan las leyes y reglamentos aplicables durante el encargo.</w:t>
            </w:r>
          </w:p>
        </w:tc>
      </w:tr>
      <w:tr>
        <w:tc>
          <w:tcPr/>
          <w:p>
            <w:pPr>
              <w:pStyle w:val="Compact"/>
              <w:jc w:val="left"/>
            </w:pPr>
            <w:r>
              <w:t xml:space="preserve">Confianza pública</w:t>
            </w:r>
          </w:p>
        </w:tc>
        <w:tc>
          <w:tcPr/>
          <w:p>
            <w:pPr>
              <w:pStyle w:val="Compact"/>
              <w:jc w:val="left"/>
            </w:pPr>
            <w:r>
              <w:t xml:space="preserve">Realizar sus actividades en todo momento de una manera que fomente la confianza en la profesión.</w:t>
            </w:r>
          </w:p>
        </w:tc>
      </w:tr>
      <w:tr>
        <w:tc>
          <w:tcPr/>
          <w:p>
            <w:pPr>
              <w:pStyle w:val="Compact"/>
              <w:jc w:val="left"/>
            </w:pPr>
            <w:r>
              <w:rPr>
                <w:iCs/>
                <w:i/>
              </w:rPr>
              <w:t xml:space="preserve">Responsabilidad ante la profesión</w:t>
            </w:r>
          </w:p>
        </w:tc>
        <w:tc>
          <w:tcPr/>
          <w:p>
            <w:pPr>
              <w:pStyle w:val="Compact"/>
            </w:pPr>
          </w:p>
        </w:tc>
      </w:tr>
      <w:tr>
        <w:tc>
          <w:tcPr/>
          <w:p>
            <w:pPr>
              <w:pStyle w:val="Compact"/>
              <w:jc w:val="left"/>
            </w:pPr>
            <w:r>
              <w:t xml:space="preserve">Respeto por la profesión</w:t>
            </w:r>
          </w:p>
        </w:tc>
        <w:tc>
          <w:tcPr/>
          <w:p>
            <w:pPr>
              <w:pStyle w:val="Compact"/>
              <w:jc w:val="left"/>
            </w:pPr>
            <w:r>
              <w:t xml:space="preserve">Exhibir una conducta que honre y mejore el prestigio y la consideración pública de la profesión.</w:t>
            </w:r>
          </w:p>
        </w:tc>
      </w:tr>
      <w:tr>
        <w:tc>
          <w:tcPr/>
          <w:p>
            <w:pPr>
              <w:pStyle w:val="Compact"/>
              <w:jc w:val="left"/>
            </w:pPr>
            <w:r>
              <w:t xml:space="preserve">Integridad y profesionalismo</w:t>
            </w:r>
          </w:p>
        </w:tc>
        <w:tc>
          <w:tcPr/>
          <w:p>
            <w:pPr>
              <w:pStyle w:val="Compact"/>
              <w:jc w:val="left"/>
            </w:pPr>
            <w:r>
              <w:t xml:space="preserve">Mantener la integridad y el profesionalismo en todo momento.</w:t>
            </w:r>
            <w:r>
              <w:t xml:space="preserve"> </w:t>
            </w:r>
            <w:r>
              <w:t xml:space="preserve"> </w:t>
            </w:r>
            <w:r>
              <w:t xml:space="preserve">Respetar los derechos de otros profesionales de la industria de la consultoría no utilizando información o metodologías de su propiedad sin permiso.</w:t>
            </w:r>
            <w:r>
              <w:t xml:space="preserve"> </w:t>
            </w:r>
            <w:r>
              <w:t xml:space="preserve"> </w:t>
            </w:r>
            <w:r>
              <w:t xml:space="preserve">Mantener mecanismos disciplinarios para hacer cumplir el código de conducta.</w:t>
            </w:r>
          </w:p>
        </w:tc>
      </w:tr>
    </w:tbl>
    <w:p>
      <w:r>
        <w:pict>
          <v:rect style="width:0;height:1.5pt" o:hralign="center" o:hrstd="t" o:hr="t"/>
        </w:pict>
      </w:r>
    </w:p>
    <w:bookmarkEnd w:id="108"/>
    <w:bookmarkEnd w:id="109"/>
    <w:bookmarkStart w:id="111" w:name="anexo-e"/>
    <w:p>
      <w:pPr>
        <w:pStyle w:val="Heading2"/>
      </w:pPr>
      <w:r>
        <w:t xml:space="preserve">Anexo E</w:t>
      </w:r>
    </w:p>
    <w:p>
      <w:pPr>
        <w:pStyle w:val="FirstParagraph"/>
      </w:pPr>
      <w:r>
        <w:t xml:space="preserve">(informativo)</w:t>
      </w:r>
    </w:p>
    <w:bookmarkStart w:id="110" w:name="X639a5f9dba884df957aa62c6dae6677a6aef330"/>
    <w:p>
      <w:pPr>
        <w:pStyle w:val="Heading3"/>
      </w:pPr>
      <w:r>
        <w:t xml:space="preserve">Ejemplos de directrices para gestionar conflictos de interés</w:t>
      </w:r>
    </w:p>
    <w:p>
      <w:pPr>
        <w:pStyle w:val="FirstParagraph"/>
      </w:pPr>
      <w:r>
        <w:t xml:space="preserve">El asesoramiento de consultoría independiente y objetivo implica gestionar una serie de posibles conflictos.</w:t>
      </w:r>
    </w:p>
    <w:p>
      <w:pPr>
        <w:pStyle w:val="BodyText"/>
      </w:pPr>
      <w:r>
        <w:t xml:space="preserve">El MCSP debería evitar los conflictos de interés reales o percibidos para asegurar que el asesoramiento que ofrece sea objetivo e independiente.</w:t>
      </w:r>
    </w:p>
    <w:p>
      <w:pPr>
        <w:pStyle w:val="BodyText"/>
      </w:pPr>
      <w:r>
        <w:t xml:space="preserve">Pueden surgir conflictos de relaciones previas o actuales con clientes, relaciones familiares, organizaciones internas de consultoría, intereses financieros, prohibiciones legales/reglamentarias y otras relaciones comerciales. Véase la Tabla E.1.</w:t>
      </w:r>
    </w:p>
    <w:p>
      <w:pPr>
        <w:pStyle w:val="BodyText"/>
      </w:pPr>
      <w:r>
        <w:rPr>
          <w:bCs/>
          <w:b/>
        </w:rPr>
        <w:t xml:space="preserve">Tabla E.1 — Posibles fuentes de conflicto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Fuente</w:t>
            </w:r>
          </w:p>
        </w:tc>
        <w:tc>
          <w:tcPr/>
          <w:p>
            <w:pPr>
              <w:pStyle w:val="Compact"/>
              <w:jc w:val="left"/>
            </w:pPr>
            <w:r>
              <w:t xml:space="preserve">Explicación</w:t>
            </w:r>
          </w:p>
        </w:tc>
      </w:tr>
      <w:tr>
        <w:tc>
          <w:tcPr/>
          <w:p>
            <w:pPr>
              <w:pStyle w:val="Compact"/>
              <w:jc w:val="left"/>
            </w:pPr>
            <w:r>
              <w:t xml:space="preserve">Múltiples proyectos con el mismo cliente en diferente nivel o ubicación</w:t>
            </w:r>
          </w:p>
        </w:tc>
        <w:tc>
          <w:tcPr/>
          <w:p>
            <w:pPr>
              <w:pStyle w:val="Compact"/>
              <w:jc w:val="left"/>
            </w:pPr>
            <w:r>
              <w:t xml:space="preserve">¿Existen contratos paralelos o similares en el mismo grupo, pasados o presentes?</w:t>
            </w:r>
          </w:p>
        </w:tc>
      </w:tr>
      <w:tr>
        <w:tc>
          <w:tcPr/>
          <w:p>
            <w:pPr>
              <w:pStyle w:val="Compact"/>
              <w:jc w:val="left"/>
            </w:pPr>
            <w:r>
              <w:t xml:space="preserve">El cliente es un antiguo cliente</w:t>
            </w:r>
          </w:p>
        </w:tc>
        <w:tc>
          <w:tcPr/>
          <w:p>
            <w:pPr>
              <w:pStyle w:val="Compact"/>
              <w:jc w:val="left"/>
            </w:pPr>
            <w:r>
              <w:t xml:space="preserve">Cuando un cliente es también un antiguo cliente, ¿ha prestado el MCSP asesoramiento previo o realizado análisis previos que de algún modo limitarían el asesoramiento del MCSP en la nueva situación?</w:t>
            </w:r>
          </w:p>
        </w:tc>
      </w:tr>
      <w:tr>
        <w:tc>
          <w:tcPr/>
          <w:p>
            <w:pPr>
              <w:pStyle w:val="Compact"/>
              <w:jc w:val="left"/>
            </w:pPr>
            <w:r>
              <w:t xml:space="preserve">El MCSP tiene un cliente o un antiguo cliente en la misma industria</w:t>
            </w:r>
          </w:p>
        </w:tc>
        <w:tc>
          <w:tcPr/>
          <w:p>
            <w:pPr>
              <w:pStyle w:val="Compact"/>
              <w:jc w:val="left"/>
            </w:pPr>
            <w:r>
              <w:t xml:space="preserve">Cuando el MCSP tiene un cliente actual o antiguo, quizá en la misma industria que el cliente al que ahora busca asesorar, ¿tiene el MCSP información de su propiedad que podría afectar su asesoramiento?</w:t>
            </w:r>
          </w:p>
        </w:tc>
      </w:tr>
      <w:tr>
        <w:tc>
          <w:tcPr/>
          <w:p>
            <w:pPr>
              <w:pStyle w:val="Compact"/>
              <w:jc w:val="left"/>
            </w:pPr>
            <w:r>
              <w:t xml:space="preserve">Los miembros del personal tienen relaciones</w:t>
            </w:r>
          </w:p>
        </w:tc>
        <w:tc>
          <w:tcPr/>
          <w:p>
            <w:pPr>
              <w:pStyle w:val="Compact"/>
              <w:jc w:val="left"/>
            </w:pPr>
            <w:r>
              <w:t xml:space="preserve">¿Tienen algunos miembros del personal del MCSP relaciones familiares con miembros del personal del cliente, en particular en puestos de dirección?</w:t>
            </w:r>
          </w:p>
        </w:tc>
      </w:tr>
      <w:tr>
        <w:tc>
          <w:tcPr/>
          <w:p>
            <w:pPr>
              <w:pStyle w:val="Compact"/>
              <w:jc w:val="left"/>
            </w:pPr>
            <w:r>
              <w:t xml:space="preserve">Organizaciones internas de consultoría</w:t>
            </w:r>
          </w:p>
        </w:tc>
        <w:tc>
          <w:tcPr/>
          <w:p>
            <w:pPr>
              <w:pStyle w:val="Compact"/>
              <w:jc w:val="left"/>
            </w:pPr>
            <w:r>
              <w:t xml:space="preserve">¿Tienen algunos miembros del personal del MCSP relaciones jerárquicas con miembros del personal del cliente o del destinatario, en particular en puestos de dirección?</w:t>
            </w:r>
          </w:p>
        </w:tc>
      </w:tr>
      <w:tr>
        <w:tc>
          <w:tcPr/>
          <w:p>
            <w:pPr>
              <w:pStyle w:val="Compact"/>
              <w:jc w:val="left"/>
            </w:pPr>
            <w:r>
              <w:t xml:space="preserve">El MCSP o su personal tienen intereses financieros</w:t>
            </w:r>
          </w:p>
        </w:tc>
        <w:tc>
          <w:tcPr/>
          <w:p>
            <w:pPr>
              <w:pStyle w:val="Compact"/>
              <w:jc w:val="left"/>
            </w:pPr>
            <w:r>
              <w:t xml:space="preserve">¿Tiene el MCSP o sus miembros del personal un interés financiero en el cliente o en cualquiera de los miembros de su equipo directivo, incluida una cuenta por cobrar vencida, un préstamo o una inversión de capital?</w:t>
            </w:r>
          </w:p>
        </w:tc>
      </w:tr>
      <w:tr>
        <w:tc>
          <w:tcPr/>
          <w:p>
            <w:pPr>
              <w:pStyle w:val="Compact"/>
              <w:jc w:val="left"/>
            </w:pPr>
            <w:r>
              <w:t xml:space="preserve">El MCSP tiene una relación de auditoría</w:t>
            </w:r>
          </w:p>
        </w:tc>
        <w:tc>
          <w:tcPr/>
          <w:p>
            <w:pPr>
              <w:pStyle w:val="Compact"/>
              <w:jc w:val="left"/>
            </w:pPr>
            <w:r>
              <w:t xml:space="preserve">Cuando el MCSP también tiene una relación de auditoría financiera con el cliente, ¿están permitidos los servicios de consultoría previstos por el regulador de valores pertinente?</w:t>
            </w:r>
            <w:r>
              <w:t xml:space="preserve"> </w:t>
            </w:r>
            <w:r>
              <w:t xml:space="preserve"> </w:t>
            </w:r>
            <w:r>
              <w:t xml:space="preserve">Nótese que cuando un cliente es también un cliente de auditoría, pero no está sujeto a la regulación de valores, el comité de auditoría del cliente puede optar por restringir los servicios adicionales que pueda prestar el MCSP, como cuestión de política.</w:t>
            </w:r>
          </w:p>
        </w:tc>
      </w:tr>
      <w:tr>
        <w:tc>
          <w:tcPr/>
          <w:p>
            <w:pPr>
              <w:pStyle w:val="Compact"/>
              <w:jc w:val="left"/>
            </w:pPr>
            <w:r>
              <w:t xml:space="preserve">Otros</w:t>
            </w:r>
          </w:p>
        </w:tc>
        <w:tc>
          <w:tcPr/>
          <w:p>
            <w:pPr>
              <w:pStyle w:val="Compact"/>
              <w:jc w:val="left"/>
            </w:pPr>
            <w:r>
              <w:t xml:space="preserve">Otras relaciones comerciales pueden incluir situaciones en las que el MCSP o su personal tienen un interés compartido con un cliente en un contrato con un tercero (como una asociación de software, locales arrendados, un abono a entradas deportivas, etc.) o en las que el MCSP o los miembros de su personal están «cautivos» en la plantilla del cliente, como en el caso de la gestión «por contrato» o «interina» o de «consultores internos».</w:t>
            </w:r>
          </w:p>
        </w:tc>
      </w:tr>
    </w:tbl>
    <w:p>
      <w:pPr>
        <w:pStyle w:val="BodyText"/>
      </w:pPr>
      <w:r>
        <w:t xml:space="preserve">Los posibles remedios incluyen:</w:t>
      </w:r>
    </w:p>
    <w:p>
      <w:pPr>
        <w:pStyle w:val="BodyText"/>
      </w:pPr>
      <w:r>
        <w:t xml:space="preserve">—</w:t>
      </w:r>
      <w:r>
        <w:t xml:space="preserve"> </w:t>
      </w:r>
      <w:r>
        <w:rPr>
          <w:iCs/>
          <w:i/>
        </w:rPr>
        <w:t xml:space="preserve">buscar el consentimiento:</w:t>
      </w:r>
      <w:r>
        <w:t xml:space="preserve"> </w:t>
      </w:r>
      <w:r>
        <w:t xml:space="preserve">en ciertas circunstancias, el MCSP puede ser capaz de gestionar los conflictos mediante la divulgación completa de relaciones pasadas o actuales con clientes, buscando la aprobación/consentimiento por escrito de las partes afectadas;</w:t>
      </w:r>
      <w:r>
        <w:t xml:space="preserve"> </w:t>
      </w:r>
      <w:r>
        <w:t xml:space="preserve">—</w:t>
      </w:r>
      <w:r>
        <w:t xml:space="preserve"> </w:t>
      </w:r>
      <w:r>
        <w:rPr>
          <w:iCs/>
          <w:i/>
        </w:rPr>
        <w:t xml:space="preserve">aislar las áreas de posible conflicto de interés:</w:t>
      </w:r>
      <w:r>
        <w:t xml:space="preserve"> </w:t>
      </w:r>
      <w:r>
        <w:t xml:space="preserve">establecer acuerdos de confidencialidad/no divulgación con respecto a la nueva información del cliente, restricciones de personal, separación de los equipos de servicio y de los datos, diferentes puntos de presentación de informes al cliente y otros enfoques;</w:t>
      </w:r>
      <w:r>
        <w:t xml:space="preserve"> </w:t>
      </w:r>
      <w:r>
        <w:t xml:space="preserve">—</w:t>
      </w:r>
      <w:r>
        <w:t xml:space="preserve"> </w:t>
      </w:r>
      <w:r>
        <w:rPr>
          <w:iCs/>
          <w:i/>
        </w:rPr>
        <w:t xml:space="preserve">terminación:</w:t>
      </w:r>
      <w:r>
        <w:t xml:space="preserve"> </w:t>
      </w:r>
      <w:r>
        <w:t xml:space="preserve">es posible que un MCSP no pueda gestionar/mitigar un conflicto y se vea obligado a rechazar un encargo.</w:t>
      </w:r>
    </w:p>
    <w:p>
      <w:r>
        <w:pict>
          <v:rect style="width:0;height:1.5pt" o:hralign="center" o:hrstd="t" o:hr="t"/>
        </w:pict>
      </w:r>
    </w:p>
    <w:bookmarkEnd w:id="110"/>
    <w:bookmarkEnd w:id="111"/>
    <w:bookmarkStart w:id="113" w:name="anexo-f"/>
    <w:p>
      <w:pPr>
        <w:pStyle w:val="Heading2"/>
      </w:pPr>
      <w:r>
        <w:t xml:space="preserve">Anexo F</w:t>
      </w:r>
    </w:p>
    <w:p>
      <w:pPr>
        <w:pStyle w:val="FirstParagraph"/>
      </w:pPr>
      <w:r>
        <w:t xml:space="preserve">(informativo)</w:t>
      </w:r>
    </w:p>
    <w:bookmarkStart w:id="112" w:name="X9ef6147fcd7d861efff4f7887cfb86605db4f61"/>
    <w:p>
      <w:pPr>
        <w:pStyle w:val="Heading3"/>
      </w:pPr>
      <w:r>
        <w:t xml:space="preserve">Ejemplos de criterios para evaluar la capacidad</w:t>
      </w:r>
    </w:p>
    <w:p>
      <w:pPr>
        <w:pStyle w:val="FirstParagraph"/>
      </w:pPr>
      <w:r>
        <w:t xml:space="preserve">Los ejemplos de la Tabla F.1 pueden ser útiles para evaluar la capacidad sostenible del MCSP (véanse 4.4.5 y 6.5.4.4).</w:t>
      </w:r>
    </w:p>
    <w:p>
      <w:pPr>
        <w:pStyle w:val="BodyText"/>
      </w:pPr>
      <w:r>
        <w:rPr>
          <w:bCs/>
          <w:b/>
        </w:rPr>
        <w:t xml:space="preserve">Tabla F.1 — Capacidad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Competencias del personal</w:t>
            </w:r>
          </w:p>
        </w:tc>
        <w:tc>
          <w:tcPr/>
          <w:p>
            <w:pPr>
              <w:pStyle w:val="Compact"/>
              <w:jc w:val="left"/>
            </w:pPr>
            <w:r>
              <w:t xml:space="preserve">Ejemplos</w:t>
            </w:r>
          </w:p>
        </w:tc>
      </w:tr>
      <w:tr>
        <w:tc>
          <w:tcPr/>
          <w:p>
            <w:pPr>
              <w:pStyle w:val="Compact"/>
              <w:jc w:val="left"/>
            </w:pPr>
            <w:r>
              <w:t xml:space="preserve">Experiencia en el dominio</w:t>
            </w:r>
          </w:p>
        </w:tc>
        <w:tc>
          <w:tcPr/>
          <w:p>
            <w:pPr>
              <w:pStyle w:val="Compact"/>
              <w:jc w:val="left"/>
            </w:pPr>
            <w:r>
              <w:t xml:space="preserve">Conocimiento de la industria; conocimiento del negocio</w:t>
            </w:r>
          </w:p>
        </w:tc>
      </w:tr>
      <w:tr>
        <w:tc>
          <w:tcPr/>
          <w:p>
            <w:pPr>
              <w:pStyle w:val="Compact"/>
              <w:jc w:val="left"/>
            </w:pPr>
            <w:r>
              <w:t xml:space="preserve">Habilidades de consultoría</w:t>
            </w:r>
          </w:p>
        </w:tc>
        <w:tc>
          <w:tcPr/>
          <w:p>
            <w:pPr>
              <w:pStyle w:val="Compact"/>
              <w:jc w:val="left"/>
            </w:pPr>
            <w:r>
              <w:t xml:space="preserve">Conocimiento y experiencia de los procesos de consultoría; habilidades cognitivas; habilidades de resolución de problemas; ingenio</w:t>
            </w:r>
          </w:p>
        </w:tc>
      </w:tr>
      <w:tr>
        <w:tc>
          <w:tcPr/>
          <w:p>
            <w:pPr>
              <w:pStyle w:val="Compact"/>
              <w:jc w:val="left"/>
            </w:pPr>
            <w:r>
              <w:t xml:space="preserve">Habilidades con las personas</w:t>
            </w:r>
          </w:p>
        </w:tc>
        <w:tc>
          <w:tcPr/>
          <w:p>
            <w:pPr>
              <w:pStyle w:val="Compact"/>
              <w:jc w:val="left"/>
            </w:pPr>
            <w:r>
              <w:t xml:space="preserve">Habilidades de comunicación; habilidades de gestión de conflictos; habilidades de gestión de relaciones; colaboración</w:t>
            </w:r>
          </w:p>
        </w:tc>
      </w:tr>
    </w:tbl>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Otros recursos</w:t>
            </w:r>
          </w:p>
        </w:tc>
        <w:tc>
          <w:tcPr/>
          <w:p>
            <w:pPr>
              <w:pStyle w:val="Compact"/>
              <w:jc w:val="left"/>
            </w:pPr>
            <w:r>
              <w:t xml:space="preserve">Ejemplos</w:t>
            </w:r>
          </w:p>
        </w:tc>
      </w:tr>
      <w:tr>
        <w:tc>
          <w:tcPr/>
          <w:p>
            <w:pPr>
              <w:pStyle w:val="Compact"/>
              <w:jc w:val="left"/>
            </w:pPr>
            <w:r>
              <w:t xml:space="preserve">Productos</w:t>
            </w:r>
          </w:p>
        </w:tc>
        <w:tc>
          <w:tcPr/>
          <w:p>
            <w:pPr>
              <w:pStyle w:val="Compact"/>
              <w:jc w:val="left"/>
            </w:pPr>
            <w:r>
              <w:t xml:space="preserve">Mejora de la productividad SIX SIGMA</w:t>
            </w:r>
          </w:p>
        </w:tc>
      </w:tr>
      <w:tr>
        <w:tc>
          <w:tcPr/>
          <w:p>
            <w:pPr>
              <w:pStyle w:val="Compact"/>
              <w:jc w:val="left"/>
            </w:pPr>
            <w:r>
              <w:t xml:space="preserve">Información</w:t>
            </w:r>
          </w:p>
        </w:tc>
        <w:tc>
          <w:tcPr/>
          <w:p>
            <w:pPr>
              <w:pStyle w:val="Compact"/>
              <w:jc w:val="left"/>
            </w:pPr>
            <w:r>
              <w:t xml:space="preserve">Análisis de mercado; bases de datos de costos; puntos de referencia (benchmarks); información de mercado</w:t>
            </w:r>
          </w:p>
        </w:tc>
      </w:tr>
      <w:tr>
        <w:tc>
          <w:tcPr/>
          <w:p>
            <w:pPr>
              <w:pStyle w:val="Compact"/>
              <w:jc w:val="left"/>
            </w:pPr>
            <w:r>
              <w:t xml:space="preserve">Investigación</w:t>
            </w:r>
          </w:p>
        </w:tc>
        <w:tc>
          <w:tcPr/>
          <w:p>
            <w:pPr>
              <w:pStyle w:val="Compact"/>
              <w:jc w:val="left"/>
            </w:pPr>
            <w:r>
              <w:t xml:space="preserve">Informe de investigación; libros publicados; métodos de investigación primarios y secundarios para la recopilación de datos (p. ej., entrevistas, grupos focales, encuestas, informantes, observación directa, búsqueda bibliográfica, documentos, bases de datos, registros históricos)</w:t>
            </w:r>
          </w:p>
        </w:tc>
      </w:tr>
      <w:tr>
        <w:tc>
          <w:tcPr/>
          <w:p>
            <w:pPr>
              <w:pStyle w:val="Compact"/>
              <w:jc w:val="left"/>
            </w:pPr>
            <w:r>
              <w:t xml:space="preserve">Metodologías</w:t>
            </w:r>
          </w:p>
        </w:tc>
        <w:tc>
          <w:tcPr/>
          <w:p>
            <w:pPr>
              <w:pStyle w:val="Compact"/>
              <w:jc w:val="left"/>
            </w:pPr>
            <w:r>
              <w:t xml:space="preserve">Gestión de riesgos; planificación de contingencias; análisis empresarial; gestión del cambio; análisis FODA (SWOT); análisis de campos de fuerza; mejores prácticas de gestión; gestión de la calidad; benchmarking</w:t>
            </w:r>
          </w:p>
        </w:tc>
      </w:tr>
      <w:tr>
        <w:tc>
          <w:tcPr/>
          <w:p>
            <w:pPr>
              <w:pStyle w:val="Compact"/>
              <w:jc w:val="left"/>
            </w:pPr>
            <w:r>
              <w:t xml:space="preserve">Herramientas</w:t>
            </w:r>
          </w:p>
        </w:tc>
        <w:tc>
          <w:tcPr/>
          <w:p>
            <w:pPr>
              <w:pStyle w:val="Compact"/>
              <w:jc w:val="left"/>
            </w:pPr>
            <w:r>
              <w:t xml:space="preserve">Software; software de formación</w:t>
            </w:r>
          </w:p>
        </w:tc>
      </w:tr>
      <w:tr>
        <w:tc>
          <w:tcPr/>
          <w:p>
            <w:pPr>
              <w:pStyle w:val="Compact"/>
              <w:jc w:val="left"/>
            </w:pPr>
            <w:r>
              <w:t xml:space="preserve">Redes</w:t>
            </w:r>
          </w:p>
        </w:tc>
        <w:tc>
          <w:tcPr/>
          <w:p>
            <w:pPr>
              <w:pStyle w:val="Compact"/>
              <w:jc w:val="left"/>
            </w:pPr>
            <w:r>
              <w:t xml:space="preserve">Fuentes de mercado y de la industria</w:t>
            </w:r>
          </w:p>
        </w:tc>
      </w:tr>
      <w:tr>
        <w:tc>
          <w:tcPr/>
          <w:p>
            <w:pPr>
              <w:pStyle w:val="Compact"/>
              <w:jc w:val="left"/>
            </w:pPr>
            <w:r>
              <w:t xml:space="preserve">Mejora de la capacidad</w:t>
            </w:r>
          </w:p>
        </w:tc>
        <w:tc>
          <w:tcPr/>
          <w:p>
            <w:pPr>
              <w:pStyle w:val="Compact"/>
              <w:jc w:val="left"/>
            </w:pPr>
            <w:r>
              <w:t xml:space="preserve">Programa de formación; desarrollo de carrera; presupuestos y recursos asignados a todas estas áreas; desarrollo profesional continuo</w:t>
            </w:r>
          </w:p>
        </w:tc>
      </w:tr>
    </w:tbl>
    <w:p>
      <w:r>
        <w:pict>
          <v:rect style="width:0;height:1.5pt" o:hralign="center" o:hrstd="t" o:hr="t"/>
        </w:pict>
      </w:r>
    </w:p>
    <w:bookmarkEnd w:id="112"/>
    <w:bookmarkEnd w:id="113"/>
    <w:bookmarkStart w:id="115" w:name="anexo-g"/>
    <w:p>
      <w:pPr>
        <w:pStyle w:val="Heading2"/>
      </w:pPr>
      <w:r>
        <w:t xml:space="preserve">Anexo G</w:t>
      </w:r>
    </w:p>
    <w:p>
      <w:pPr>
        <w:pStyle w:val="FirstParagraph"/>
      </w:pPr>
      <w:r>
        <w:t xml:space="preserve">(informativo)</w:t>
      </w:r>
    </w:p>
    <w:bookmarkStart w:id="114" w:name="Xe2b928d8da5a92c32fa448cce6d9887cdf527bc"/>
    <w:p>
      <w:pPr>
        <w:pStyle w:val="Heading3"/>
      </w:pPr>
      <w:r>
        <w:t xml:space="preserve">Ejemplos de directrices para los MCSP sobre gestión de riesgos típicos</w:t>
      </w:r>
    </w:p>
    <w:p>
      <w:pPr>
        <w:pStyle w:val="FirstParagraph"/>
      </w:pPr>
      <w:r>
        <w:rPr>
          <w:bCs/>
          <w:b/>
        </w:rPr>
        <w:t xml:space="preserve">Tabla G.1 — Riesgos típicos para los MCSP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Principales fuentes de riesgo</w:t>
            </w:r>
          </w:p>
        </w:tc>
        <w:tc>
          <w:tcPr/>
          <w:p>
            <w:pPr>
              <w:pStyle w:val="Compact"/>
              <w:jc w:val="left"/>
            </w:pPr>
            <w:r>
              <w:t xml:space="preserve">Factores a considerar</w:t>
            </w:r>
          </w:p>
        </w:tc>
        <w:tc>
          <w:tcPr/>
          <w:p>
            <w:pPr>
              <w:pStyle w:val="Compact"/>
              <w:jc w:val="left"/>
            </w:pPr>
            <w:r>
              <w:t xml:space="preserve">Mitigación</w:t>
            </w:r>
          </w:p>
        </w:tc>
      </w:tr>
      <w:tr>
        <w:tc>
          <w:tcPr/>
          <w:p>
            <w:pPr>
              <w:pStyle w:val="Compact"/>
              <w:jc w:val="left"/>
            </w:pPr>
            <w:r>
              <w:rPr>
                <w:bCs/>
                <w:b/>
              </w:rPr>
              <w:t xml:space="preserve">Cliente:</w:t>
            </w:r>
            <w:r>
              <w:t xml:space="preserve"> </w:t>
            </w:r>
            <w:r>
              <w:t xml:space="preserve">¿Plantean el cliente o su equipo directivo problemas que podrían afectar la finalización exitosa del encargo?</w:t>
            </w:r>
          </w:p>
        </w:tc>
        <w:tc>
          <w:tcPr/>
          <w:p>
            <w:pPr>
              <w:pStyle w:val="Compact"/>
              <w:jc w:val="left"/>
            </w:pPr>
            <w:r>
              <w:t xml:space="preserve">— Relaciones pasadas con la organización y/o sus principios.</w:t>
            </w:r>
            <w:r>
              <w:t xml:space="preserve"> </w:t>
            </w:r>
            <w:r>
              <w:t xml:space="preserve"> </w:t>
            </w:r>
            <w:r>
              <w:t xml:space="preserve">— Cualquier preocupación reputacional o de integridad relacionada con el cliente potencial, sus principios o la industria en la que opera.</w:t>
            </w:r>
            <w:r>
              <w:t xml:space="preserve"> </w:t>
            </w:r>
            <w:r>
              <w:t xml:space="preserve"> </w:t>
            </w:r>
            <w:r>
              <w:t xml:space="preserve">— Cualquier consideración financiera que pudiera afectar la capacidad del cliente para pagar al consultor.</w:t>
            </w:r>
          </w:p>
        </w:tc>
        <w:tc>
          <w:tcPr/>
          <w:p>
            <w:pPr>
              <w:pStyle w:val="Compact"/>
              <w:jc w:val="left"/>
            </w:pPr>
            <w:r>
              <w:t xml:space="preserve">— El MCSP debería estar preparado para declinar trabajar para un cliente potencial si el MCSP tiene preocupaciones serias.</w:t>
            </w:r>
            <w:r>
              <w:t xml:space="preserve"> </w:t>
            </w:r>
            <w:r>
              <w:t xml:space="preserve"> </w:t>
            </w:r>
            <w:r>
              <w:t xml:space="preserve">— Las preocupaciones financieras pueden reducirse negociando acuerdos de pago, tales como anticipos o pagos por hitos.</w:t>
            </w:r>
          </w:p>
        </w:tc>
      </w:tr>
      <w:tr>
        <w:tc>
          <w:tcPr/>
          <w:p>
            <w:pPr>
              <w:pStyle w:val="Compact"/>
              <w:jc w:val="left"/>
            </w:pPr>
            <w:r>
              <w:rPr>
                <w:bCs/>
                <w:b/>
              </w:rPr>
              <w:t xml:space="preserve">Naturaleza del compromiso:</w:t>
            </w:r>
            <w:r>
              <w:t xml:space="preserve"> </w:t>
            </w:r>
            <w:r>
              <w:t xml:space="preserve">¿Plantea la naturaleza del encargo particular riesgos adicionales para su finalización exitosa?</w:t>
            </w:r>
          </w:p>
        </w:tc>
        <w:tc>
          <w:tcPr/>
          <w:p>
            <w:pPr>
              <w:pStyle w:val="Compact"/>
              <w:jc w:val="left"/>
            </w:pPr>
            <w:r>
              <w:t xml:space="preserve">— Perfil público, sensibilidad, controversia en torno a los asuntos que se examinarán.</w:t>
            </w:r>
            <w:r>
              <w:t xml:space="preserve"> </w:t>
            </w:r>
            <w:r>
              <w:t xml:space="preserve"> </w:t>
            </w:r>
            <w:r>
              <w:t xml:space="preserve">— Cambios significativos en el cliente en el pasado reciente.</w:t>
            </w:r>
            <w:r>
              <w:t xml:space="preserve"> </w:t>
            </w:r>
            <w:r>
              <w:t xml:space="preserve"> </w:t>
            </w:r>
            <w:r>
              <w:t xml:space="preserve">— Cualquier requisito de desviarse de las políticas y procedimientos habituales del MCSP.</w:t>
            </w:r>
            <w:r>
              <w:t xml:space="preserve"> </w:t>
            </w:r>
            <w:r>
              <w:t xml:space="preserve"> </w:t>
            </w:r>
            <w:r>
              <w:t xml:space="preserve">— Gobernanza del proyecto del cliente y disponibilidad de los datos del cliente.</w:t>
            </w:r>
          </w:p>
        </w:tc>
        <w:tc>
          <w:tcPr/>
          <w:p>
            <w:pPr>
              <w:pStyle w:val="Compact"/>
              <w:jc w:val="left"/>
            </w:pPr>
            <w:r>
              <w:t xml:space="preserve">— Procurar claridad sobre la gobernanza del proyecto y las fuentes de datos por adelantado.</w:t>
            </w:r>
            <w:r>
              <w:t xml:space="preserve"> </w:t>
            </w:r>
            <w:r>
              <w:t xml:space="preserve"> </w:t>
            </w:r>
            <w:r>
              <w:t xml:space="preserve">— El MCSP debería estar preparado para declinar un encargo particular si tiene preocupaciones serias.</w:t>
            </w:r>
          </w:p>
        </w:tc>
      </w:tr>
      <w:tr>
        <w:tc>
          <w:tcPr/>
          <w:p>
            <w:pPr>
              <w:pStyle w:val="Compact"/>
              <w:jc w:val="left"/>
            </w:pPr>
            <w:r>
              <w:rPr>
                <w:bCs/>
                <w:b/>
              </w:rPr>
              <w:t xml:space="preserve">Calidad de la prestación:</w:t>
            </w:r>
            <w:r>
              <w:t xml:space="preserve"> </w:t>
            </w:r>
            <w:r>
              <w:t xml:space="preserve">¿Existen riesgos en la capacidad del MCSP para supervisar y entregar el proyecto a satisfacción del cliente y sin riesgo para la reputación del MCSP?</w:t>
            </w:r>
          </w:p>
        </w:tc>
        <w:tc>
          <w:tcPr/>
          <w:p>
            <w:pPr>
              <w:pStyle w:val="Compact"/>
              <w:jc w:val="left"/>
            </w:pPr>
            <w:r>
              <w:t xml:space="preserve">— Existencia de metodologías que se desplegarán en el encargo, y experiencia del MCSP con ellas.</w:t>
            </w:r>
            <w:r>
              <w:t xml:space="preserve"> </w:t>
            </w:r>
            <w:r>
              <w:t xml:space="preserve"> </w:t>
            </w:r>
            <w:r>
              <w:t xml:space="preserve">— Disponibilidad de personal del MCSP con las habilidades y la experiencia para realizar el compromiso.</w:t>
            </w:r>
            <w:r>
              <w:t xml:space="preserve"> </w:t>
            </w:r>
            <w:r>
              <w:t xml:space="preserve"> </w:t>
            </w:r>
            <w:r>
              <w:t xml:space="preserve">— Presupuesto suficiente para ejecutar el proyecto con un alto nivel de calidad.</w:t>
            </w:r>
          </w:p>
        </w:tc>
        <w:tc>
          <w:tcPr/>
          <w:p>
            <w:pPr>
              <w:pStyle w:val="Compact"/>
              <w:jc w:val="left"/>
            </w:pPr>
            <w:r>
              <w:t xml:space="preserve">— Un programa de gestión de la calidad en funcionamiento.</w:t>
            </w:r>
            <w:r>
              <w:t xml:space="preserve"> </w:t>
            </w:r>
            <w:r>
              <w:t xml:space="preserve"> </w:t>
            </w:r>
            <w:r>
              <w:t xml:space="preserve">— Análisis y recomendaciones supervisados y aprobados por un consultor de gestión más senior y experimentado.</w:t>
            </w:r>
            <w:r>
              <w:t xml:space="preserve"> </w:t>
            </w:r>
            <w:r>
              <w:t xml:space="preserve"> </w:t>
            </w:r>
            <w:r>
              <w:t xml:space="preserve">— Revisión interna independiente.</w:t>
            </w:r>
            <w:r>
              <w:t xml:space="preserve"> </w:t>
            </w:r>
            <w:r>
              <w:t xml:space="preserve"> </w:t>
            </w:r>
            <w:r>
              <w:t xml:space="preserve">— Cuidado en la redacción precisa de las conclusiones y recomendaciones del MCSP.</w:t>
            </w:r>
            <w:r>
              <w:t xml:space="preserve"> </w:t>
            </w:r>
            <w:r>
              <w:t xml:space="preserve"> </w:t>
            </w:r>
            <w:r>
              <w:t xml:space="preserve">— Restricciones a la distribución del informe del MCSP o a la confianza que se deposite en él.</w:t>
            </w:r>
          </w:p>
        </w:tc>
      </w:tr>
    </w:tbl>
    <w:p>
      <w:pPr>
        <w:pStyle w:val="BodyText"/>
      </w:pPr>
      <w:r>
        <w:t xml:space="preserve">Todas las decisiones relativas a los riesgos del cliente y del compromiso, así como las estrategias de mitigación de riesgos, deberían aprobarse y documentarse a un nivel superior de acuerdo con las propias políticas y procedimientos del MCSP.</w:t>
      </w:r>
    </w:p>
    <w:p>
      <w:pPr>
        <w:pStyle w:val="BodyText"/>
      </w:pPr>
      <w:r>
        <w:t xml:space="preserve">NOTA — El conflicto de interés también puede plantear riesgos relacionados con el cliente, el encargo o la dotación de personal. La consideración del conflicto de interés se describe por separado en el Anexo E.</w:t>
      </w:r>
    </w:p>
    <w:p>
      <w:r>
        <w:pict>
          <v:rect style="width:0;height:1.5pt" o:hralign="center" o:hrstd="t" o:hr="t"/>
        </w:pict>
      </w:r>
    </w:p>
    <w:bookmarkEnd w:id="114"/>
    <w:bookmarkEnd w:id="115"/>
    <w:bookmarkStart w:id="117" w:name="anexo-h"/>
    <w:p>
      <w:pPr>
        <w:pStyle w:val="Heading2"/>
      </w:pPr>
      <w:r>
        <w:t xml:space="preserve">Anexo H</w:t>
      </w:r>
    </w:p>
    <w:p>
      <w:pPr>
        <w:pStyle w:val="FirstParagraph"/>
      </w:pPr>
      <w:r>
        <w:t xml:space="preserve">(informativo)</w:t>
      </w:r>
    </w:p>
    <w:bookmarkStart w:id="116" w:name="X63920761c4a49448e423a758aee1b77abb8f82b"/>
    <w:p>
      <w:pPr>
        <w:pStyle w:val="Heading3"/>
      </w:pPr>
      <w:r>
        <w:t xml:space="preserve">Ejemplos de actividades típicas de comprensión «previas al encargo»</w:t>
      </w:r>
    </w:p>
    <w:p>
      <w:pPr>
        <w:pStyle w:val="FirstParagraph"/>
      </w:pPr>
      <w:r>
        <w:t xml:space="preserve">Antes del acuerdo, pueden abordarse muchos componentes en cualquier etapa, con resultados intermedios que realizan el cliente, el MCSP y otras partes interesadas pertinentes. Estos dan lugar a la «comprensión»:</w:t>
      </w:r>
    </w:p>
    <w:p>
      <w:pPr>
        <w:pStyle w:val="BodyText"/>
      </w:pPr>
      <w:r>
        <w:t xml:space="preserve">— promoción de productos de ventas y marketing;</w:t>
      </w:r>
      <w:r>
        <w:t xml:space="preserve"> </w:t>
      </w:r>
      <w:r>
        <w:t xml:space="preserve">— puntos de referencia (benchmarks) de organizaciones de una industria;</w:t>
      </w:r>
      <w:r>
        <w:t xml:space="preserve"> </w:t>
      </w:r>
      <w:r>
        <w:t xml:space="preserve">— reglamentos pertinentes para el crecimiento o la operación de la organización;</w:t>
      </w:r>
      <w:r>
        <w:t xml:space="preserve"> </w:t>
      </w:r>
      <w:r>
        <w:t xml:space="preserve">— diagnóstico de una situación o análisis de la situación;</w:t>
      </w:r>
      <w:r>
        <w:t xml:space="preserve"> </w:t>
      </w:r>
      <w:r>
        <w:t xml:space="preserve">— necesidades, expectativas, asuntos;</w:t>
      </w:r>
      <w:r>
        <w:t xml:space="preserve"> </w:t>
      </w:r>
      <w:r>
        <w:t xml:space="preserve">— supuestos;</w:t>
      </w:r>
      <w:r>
        <w:t xml:space="preserve"> </w:t>
      </w:r>
      <w:r>
        <w:t xml:space="preserve">— alerta sobre riesgos (véase el Anexo G);</w:t>
      </w:r>
      <w:r>
        <w:t xml:space="preserve"> </w:t>
      </w:r>
      <w:r>
        <w:t xml:space="preserve">— limitaciones;</w:t>
      </w:r>
      <w:r>
        <w:t xml:space="preserve"> </w:t>
      </w:r>
      <w:r>
        <w:t xml:space="preserve">— definición de requisitos;</w:t>
      </w:r>
      <w:r>
        <w:t xml:space="preserve"> </w:t>
      </w:r>
      <w:r>
        <w:t xml:space="preserve">— análisis y conceptualización del problema por resolver, enfoque de los servicios que se solicitarán y presupuesto para estas actividades;</w:t>
      </w:r>
      <w:r>
        <w:t xml:space="preserve"> </w:t>
      </w:r>
      <w:r>
        <w:t xml:space="preserve">— propuesta especulativa.</w:t>
      </w:r>
    </w:p>
    <w:p>
      <w:r>
        <w:pict>
          <v:rect style="width:0;height:1.5pt" o:hralign="center" o:hrstd="t" o:hr="t"/>
        </w:pict>
      </w:r>
    </w:p>
    <w:bookmarkEnd w:id="116"/>
    <w:bookmarkEnd w:id="117"/>
    <w:bookmarkStart w:id="118" w:name="bibliografía"/>
    <w:p>
      <w:pPr>
        <w:pStyle w:val="Heading2"/>
      </w:pPr>
      <w:r>
        <w:t xml:space="preserve">Bibliografía</w:t>
      </w:r>
    </w:p>
    <w:p>
      <w:pPr>
        <w:pStyle w:val="FirstParagraph"/>
      </w:pPr>
      <w:r>
        <w:t xml:space="preserve">[1] ISO 9001:2015,</w:t>
      </w:r>
      <w:r>
        <w:t xml:space="preserve"> </w:t>
      </w:r>
      <w:r>
        <w:rPr>
          <w:iCs/>
          <w:i/>
        </w:rPr>
        <w:t xml:space="preserve">Sistemas de gestión de la calidad — Requisitos</w:t>
      </w:r>
      <w:r>
        <w:t xml:space="preserve"> </w:t>
      </w:r>
      <w:r>
        <w:t xml:space="preserve">[2] ISO 10019,</w:t>
      </w:r>
      <w:r>
        <w:t xml:space="preserve"> </w:t>
      </w:r>
      <w:r>
        <w:rPr>
          <w:iCs/>
          <w:i/>
        </w:rPr>
        <w:t xml:space="preserve">Directrices para la selección de consultores de sistemas de gestión de la calidad y para la utilización de sus servicios</w:t>
      </w:r>
      <w:r>
        <w:t xml:space="preserve"> </w:t>
      </w:r>
      <w:r>
        <w:t xml:space="preserve">[3] ISO 14001,</w:t>
      </w:r>
      <w:r>
        <w:t xml:space="preserve"> </w:t>
      </w:r>
      <w:r>
        <w:rPr>
          <w:iCs/>
          <w:i/>
        </w:rPr>
        <w:t xml:space="preserve">Sistemas de gestión ambiental — Requisitos con orientación para su uso</w:t>
      </w:r>
      <w:r>
        <w:t xml:space="preserve"> </w:t>
      </w:r>
      <w:r>
        <w:t xml:space="preserve">[4] ISO 21000-19:2010,</w:t>
      </w:r>
      <w:r>
        <w:t xml:space="preserve"> </w:t>
      </w:r>
      <w:r>
        <w:rPr>
          <w:iCs/>
          <w:i/>
        </w:rPr>
        <w:t xml:space="preserve">Tecnología de la información — Marco multimedia (MPEG-21) — Parte 19: Ontología de la cadena de valor de los medios</w:t>
      </w:r>
      <w:r>
        <w:t xml:space="preserve"> </w:t>
      </w:r>
      <w:r>
        <w:t xml:space="preserve">[5] ISO 21500:2012,</w:t>
      </w:r>
      <w:r>
        <w:t xml:space="preserve"> </w:t>
      </w:r>
      <w:r>
        <w:rPr>
          <w:iCs/>
          <w:i/>
        </w:rPr>
        <w:t xml:space="preserve">Orientación sobre la gestión de proyectos</w:t>
      </w:r>
      <w:r>
        <w:t xml:space="preserve"> </w:t>
      </w:r>
      <w:r>
        <w:t xml:space="preserve">[6] ISO 22301:2012,</w:t>
      </w:r>
      <w:r>
        <w:t xml:space="preserve"> </w:t>
      </w:r>
      <w:r>
        <w:rPr>
          <w:iCs/>
          <w:i/>
        </w:rPr>
        <w:t xml:space="preserve">Seguridad de la sociedad — Sistemas de gestión de la continuidad del negocio — Requisitos</w:t>
      </w:r>
      <w:r>
        <w:t xml:space="preserve"> </w:t>
      </w:r>
      <w:r>
        <w:t xml:space="preserve">[7] ISO 26000:2010,</w:t>
      </w:r>
      <w:r>
        <w:t xml:space="preserve"> </w:t>
      </w:r>
      <w:r>
        <w:rPr>
          <w:iCs/>
          <w:i/>
        </w:rPr>
        <w:t xml:space="preserve">Orientación sobre responsabilidad social</w:t>
      </w:r>
      <w:r>
        <w:t xml:space="preserve"> </w:t>
      </w:r>
      <w:r>
        <w:t xml:space="preserve">[8] ISO 37001,</w:t>
      </w:r>
      <w:r>
        <w:t xml:space="preserve"> </w:t>
      </w:r>
      <w:r>
        <w:rPr>
          <w:iCs/>
          <w:i/>
        </w:rPr>
        <w:t xml:space="preserve">Sistemas de gestión antisoborno — Requisitos con orientación para su uso</w:t>
      </w:r>
      <w:r>
        <w:t xml:space="preserve"> </w:t>
      </w:r>
      <w:r>
        <w:t xml:space="preserve">[9] ISO Guide 73:2009,</w:t>
      </w:r>
      <w:r>
        <w:t xml:space="preserve"> </w:t>
      </w:r>
      <w:r>
        <w:rPr>
          <w:iCs/>
          <w:i/>
        </w:rPr>
        <w:t xml:space="preserve">Gestión del riesgo — Vocabulario</w:t>
      </w:r>
      <w:r>
        <w:t xml:space="preserve"> </w:t>
      </w:r>
      <w:r>
        <w:t xml:space="preserve">[10] EN 16114,</w:t>
      </w:r>
      <w:r>
        <w:t xml:space="preserve"> </w:t>
      </w:r>
      <w:r>
        <w:rPr>
          <w:iCs/>
          <w:i/>
        </w:rPr>
        <w:t xml:space="preserve">Servicios de consultoría en gestión</w:t>
      </w:r>
      <w:r>
        <w:t xml:space="preserve"> </w:t>
      </w:r>
      <w:r>
        <w:t xml:space="preserve">[11] UNITED NATIONS GUIDELINES. http://www.un.org/en/ethics/pdf/StandConIntCivSE.pdf</w:t>
      </w:r>
      <w:r>
        <w:t xml:space="preserve"> </w:t>
      </w:r>
      <w:r>
        <w:t xml:space="preserve">[12] INTERNATIONAL LABOUR OFFICE GUIDELINES.</w:t>
      </w:r>
      <w:r>
        <w:t xml:space="preserve"> </w:t>
      </w:r>
      <w:r>
        <w:rPr>
          <w:iCs/>
          <w:i/>
        </w:rPr>
        <w:t xml:space="preserve">Management Consulting – A Guide to the Profession</w:t>
      </w:r>
      <w:r>
        <w:t xml:space="preserve">. 2002. ILO Ginebra, 4.ª edición. http://ksg.vse.cz/wp-content/uploads/2012/04/MC.pdf</w:t>
      </w:r>
      <w:r>
        <w:t xml:space="preserve"> </w:t>
      </w:r>
      <w:r>
        <w:t xml:space="preserve">[13] WORLD TRADE ORGANIZATION GUIDELINE. https://www.wto.org/english/tratop_e/serv_e/accountancy_e/accountancy_e.htm https://www.wto.org/english/res_e/statis_e/services_training_module_e.pdf</w:t>
      </w:r>
      <w:r>
        <w:t xml:space="preserve"> </w:t>
      </w:r>
      <w:r>
        <w:t xml:space="preserve">[14] WORLD BANK GUIDELINES. http://web.worldbank.org/WBSITE/EXTERNAL/PROJECTS/PROCUREMENT/0,,contentMDK:20060636</w:t>
      </w:r>
      <w:r>
        <w:rPr>
          <w:vertAlign w:val="subscript"/>
        </w:rPr>
        <w:t xml:space="preserve">menuPK:92324</w:t>
      </w:r>
      <w:r>
        <w:t xml:space="preserve">pagePK:84269</w:t>
      </w:r>
      <w:r>
        <w:rPr>
          <w:vertAlign w:val="subscript"/>
        </w:rPr>
        <w:t xml:space="preserve">piPK:84286</w:t>
      </w:r>
      <w:r>
        <w:t xml:space="preserve">theSitePK:84266,00.html</w:t>
      </w:r>
      <w:r>
        <w:t xml:space="preserve"> </w:t>
      </w:r>
      <w:r>
        <w:t xml:space="preserve">[15] EUROPEAN BANK FOR RECONSTRUCTION AND DEVELOPMENT GUIDELINES.</w:t>
      </w:r>
      <w:r>
        <w:t xml:space="preserve"> </w:t>
      </w:r>
      <w:r>
        <w:rPr>
          <w:iCs/>
          <w:i/>
        </w:rPr>
        <w:t xml:space="preserve">Technical Cooperation: Guidelines for Clients Managing Donor Funded Consultancy Assignments</w:t>
      </w:r>
      <w:r>
        <w:t xml:space="preserve">. http://www.ebrd.com/work-with-us/procurement/consultancy-services.html http://www.ebrd.com/downloads/procurement/CSU/Guidelines_Client_November_2011_ENG.pdf</w:t>
      </w:r>
      <w:r>
        <w:t xml:space="preserve"> </w:t>
      </w:r>
      <w:r>
        <w:t xml:space="preserve">[16] THE INTERNATIONAL BANK FOR RECONSTRUCTION AND DEVELOPMENT GUIDELINES. http://siteresources.worldbank.org/INTPROCUREMENT/Resources/278019-1308067833011/Consultant_GLs_English_Final_Jan2011.pdf</w:t>
      </w:r>
      <w:r>
        <w:t xml:space="preserve"> </w:t>
      </w:r>
      <w:r>
        <w:t xml:space="preserve">[17] GRI Guidelines.</w:t>
      </w:r>
      <w:r>
        <w:t xml:space="preserve"> </w:t>
      </w:r>
      <w:r>
        <w:rPr>
          <w:iCs/>
          <w:i/>
        </w:rPr>
        <w:t xml:space="preserve">References Not Available about Management Consulting</w:t>
      </w:r>
    </w:p>
    <w:p>
      <w:r>
        <w:pict>
          <v:rect style="width:0;height:1.5pt" o:hralign="center" o:hrstd="t" o:hr="t"/>
        </w:pict>
      </w:r>
    </w:p>
    <w:p>
      <w:pPr>
        <w:pStyle w:val="FirstParagraph"/>
      </w:pPr>
      <w:r>
        <w:t xml:space="preserve">ICS 03.100.01</w:t>
      </w:r>
      <w:r>
        <w:t xml:space="preserve"> </w:t>
      </w:r>
      <w:r>
        <w:t xml:space="preserve">© ISO 2017 — Todos los derechos reservados</w:t>
      </w:r>
    </w:p>
    <w:bookmarkEnd w:id="118"/>
    <w:bookmarkEnd w:id="1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2026-10-09T20:57:16Z</dcterms:created>
  <dcterms:modified xsi:type="dcterms:W3CDTF">2026-10-09T20:57:16Z</dcterms:modified>
</cp:coreProperties>
</file>

<file path=docProps/custom.xml><?xml version="1.0" encoding="utf-8"?>
<Properties xmlns="http://schemas.openxmlformats.org/officeDocument/2006/custom-properties" xmlns:vt="http://schemas.openxmlformats.org/officeDocument/2006/docPropsVTypes"/>
</file>