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 w:val="0"/>
          <w:i/>
          <w:sz w:val="18"/>
        </w:rPr>
        <w:t>"Año de la Esperanza y el Fortalecimiento de la Democracia"</w:t>
      </w:r>
    </w:p>
    <w:p>
      <w:pPr>
        <w:spacing w:after="120"/>
        <w:jc w:val="right"/>
      </w:pPr>
      <w:r>
        <w:rPr>
          <w:b w:val="0"/>
          <w:i w:val="0"/>
        </w:rPr>
        <w:t>Lima, 13 de octubre de 2026</w:t>
      </w:r>
    </w:p>
    <w:p>
      <w:pPr>
        <w:spacing w:after="240"/>
      </w:pPr>
      <w:r>
        <w:rPr>
          <w:b/>
          <w:i w:val="0"/>
        </w:rPr>
        <w:t>OFICIO N.º ______-2026-OGPL/UNMSM</w:t>
      </w:r>
    </w:p>
    <w:p>
      <w:pPr>
        <w:spacing w:after="0"/>
      </w:pPr>
      <w:r>
        <w:rPr>
          <w:b w:val="0"/>
          <w:i w:val="0"/>
        </w:rPr>
        <w:t>Señor(a) Doctor(a)</w:t>
      </w:r>
    </w:p>
    <w:p>
      <w:pPr>
        <w:spacing w:after="0"/>
      </w:pPr>
      <w:r>
        <w:rPr>
          <w:b/>
          <w:i w:val="0"/>
        </w:rPr>
        <w:t>Decano(a) de la Facultad de ____________________</w:t>
      </w:r>
    </w:p>
    <w:p>
      <w:pPr>
        <w:spacing w:after="0"/>
      </w:pPr>
      <w:r>
        <w:rPr>
          <w:b w:val="0"/>
          <w:i w:val="0"/>
        </w:rPr>
        <w:t>Universidad Nacional Mayor de San Marcos</w:t>
      </w:r>
    </w:p>
    <w:p>
      <w:pPr>
        <w:spacing w:after="240"/>
      </w:pPr>
      <w:r>
        <w:rPr>
          <w:b w:val="0"/>
          <w:i w:val="0"/>
        </w:rPr>
        <w:t>Presente.-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8"/>
        <w:gridCol w:w="7200"/>
      </w:tblGrid>
      <w:tr>
        <w:tc>
          <w:tcPr>
            <w:tcW w:type="dxa" w:w="1587"/>
          </w:tcPr>
          <w:p>
            <w:r>
              <w:rPr>
                <w:b/>
              </w:rPr>
              <w:t>Asunto:</w:t>
            </w:r>
          </w:p>
        </w:tc>
        <w:tc>
          <w:tcPr>
            <w:tcW w:type="dxa" w:w="7200"/>
          </w:tcPr>
          <w:p>
            <w:r>
              <w:t>Inicio de la Fase 2 del Plan de Gestión por Procesos: documentación y diagramación de procedimientos</w:t>
            </w:r>
          </w:p>
        </w:tc>
      </w:tr>
      <w:tr>
        <w:tc>
          <w:tcPr>
            <w:tcW w:type="dxa" w:w="1587"/>
          </w:tcPr>
          <w:p>
            <w:r>
              <w:rPr>
                <w:b/>
              </w:rPr>
              <w:t>Referencia:</w:t>
            </w:r>
          </w:p>
        </w:tc>
        <w:tc>
          <w:tcPr>
            <w:tcW w:type="dxa" w:w="7200"/>
          </w:tcPr>
          <w:p>
            <w:r>
              <w:t>Plan de Gestión de la Fase 2 – P01-PG-F2, versión 1.1 (08/10/2026)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120"/>
        <w:jc w:val="both"/>
      </w:pPr>
      <w:r>
        <w:rPr>
          <w:b w:val="0"/>
        </w:rPr>
        <w:t xml:space="preserve">Tengo el agrado de dirigirme a usted para saludarlo(a) cordialmente y, a la vez, comunicarle que, habiendo cumplido su Facultad la Fase 1 (Identificación) del proyecto </w:t>
      </w:r>
      <w:r>
        <w:rPr>
          <w:b/>
        </w:rPr>
        <w:t>Implementación de la Gestión por Procesos en la UNMSM</w:t>
      </w:r>
      <w:r>
        <w:rPr>
          <w:b w:val="0"/>
        </w:rPr>
        <w:t xml:space="preserve">, corresponde iniciar la </w:t>
      </w:r>
      <w:r>
        <w:rPr>
          <w:b/>
        </w:rPr>
        <w:t>Fase 2: Documentación y Diagramación de Procedimientos</w:t>
      </w:r>
      <w:r>
        <w:rPr>
          <w:b w:val="0"/>
        </w:rPr>
        <w:t>, conforme al Plan de Gestión de la referencia. En este primer despliegue participan las Facultades de Derecho y Ciencia Política (FDCP), Psicología (FPSIC), Ingeniería Electrónica y Eléctrica (FIEE) y Ciencias Administrativas (FCA).</w:t>
      </w:r>
    </w:p>
    <w:p>
      <w:pPr>
        <w:spacing w:after="60"/>
      </w:pPr>
      <w:r>
        <w:rPr>
          <w:b/>
          <w:i w:val="0"/>
          <w:color w:val="0E1E3A"/>
        </w:rPr>
        <w:t>1. Objetivo</w:t>
      </w:r>
    </w:p>
    <w:p>
      <w:pPr>
        <w:spacing w:after="120"/>
        <w:jc w:val="both"/>
      </w:pPr>
      <w:r>
        <w:rPr>
          <w:b w:val="0"/>
          <w:i w:val="0"/>
        </w:rPr>
        <w:t>Documentar y diagramar el estado actual (As-Is) de los procedimientos de la Facultad y establecer, sobre esa base, procedimientos estándar (To-Be) comunes a las facultades del grupo. Esta fase no contempla el rediseño de procesos, la automatización de sistemas ni la elaboración del Manual de Procedimientos (MAPRO).</w:t>
      </w:r>
    </w:p>
    <w:p>
      <w:pPr>
        <w:spacing w:after="60"/>
      </w:pPr>
      <w:r>
        <w:rPr>
          <w:b/>
          <w:i w:val="0"/>
          <w:color w:val="0E1E3A"/>
        </w:rPr>
        <w:t>2. Alcance y entregables</w:t>
      </w:r>
    </w:p>
    <w:p>
      <w:pPr>
        <w:pStyle w:val="ListBullet"/>
        <w:spacing w:after="40"/>
        <w:jc w:val="both"/>
      </w:pPr>
      <w:r>
        <w:t>Procedimiento documentado en texto: proceso vinculado, código y nombre del procedimiento, descripción de cada tarea, tarea predecesora, responsable y aprobación del jefe.</w:t>
      </w:r>
    </w:p>
    <w:p>
      <w:pPr>
        <w:pStyle w:val="ListBullet"/>
        <w:spacing w:after="40"/>
        <w:jc w:val="both"/>
      </w:pPr>
      <w:r>
        <w:t>Diagrama de flujo bajo la notación BPMN 2.0 (carriles por responsable y compuertas de decisión).</w:t>
      </w:r>
    </w:p>
    <w:p>
      <w:pPr>
        <w:pStyle w:val="ListBullet"/>
        <w:spacing w:after="40"/>
        <w:jc w:val="both"/>
      </w:pPr>
      <w:r>
        <w:t>Análisis y establecimiento de los procedimientos To-Be estándar.</w:t>
      </w:r>
    </w:p>
    <w:p>
      <w:pPr>
        <w:pStyle w:val="ListBullet"/>
        <w:spacing w:after="40"/>
        <w:jc w:val="both"/>
      </w:pPr>
      <w:r>
        <w:t>Acta de conformidad firmada por cada dueño del proceso (jefe de la unidad orgánica).</w:t>
      </w:r>
    </w:p>
    <w:p>
      <w:pPr>
        <w:pStyle w:val="ListBullet"/>
        <w:spacing w:after="40"/>
        <w:jc w:val="both"/>
      </w:pPr>
      <w:r>
        <w:t>Registro de cada procedimiento aprobado en SIGPRO, desde donde se consolidará posteriormente en el MAPRO.</w:t>
      </w:r>
    </w:p>
    <w:p>
      <w:pPr>
        <w:spacing w:after="60"/>
      </w:pPr>
      <w:r>
        <w:rPr>
          <w:b/>
          <w:i w:val="0"/>
          <w:color w:val="0E1E3A"/>
        </w:rPr>
        <w:t>3. Hitos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5102"/>
            <w:shd w:fill="0E1E3A"/>
          </w:tcPr>
          <w:p>
            <w:r>
              <w:rPr>
                <w:b/>
                <w:color w:val="FFFFFF"/>
                <w:sz w:val="19"/>
              </w:rPr>
              <w:t>Hito</w:t>
            </w:r>
          </w:p>
        </w:tc>
        <w:tc>
          <w:tcPr>
            <w:tcW w:type="dxa" w:w="3685"/>
            <w:shd w:fill="0E1E3A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</w:tr>
      <w:tr>
        <w:tc>
          <w:tcPr>
            <w:tcW w:type="dxa" w:w="5102"/>
          </w:tcPr>
          <w:p>
            <w:r>
              <w:rPr>
                <w:sz w:val="19"/>
              </w:rPr>
              <w:t>Reunión de coordinación con el decano y los jefes de UU.OO.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FDCP y FCA: 15/10/2026 · FPSIC y FIEE: 16/10/2026</w:t>
            </w:r>
          </w:p>
        </w:tc>
      </w:tr>
      <w:tr>
        <w:tc>
          <w:tcPr>
            <w:tcW w:type="dxa" w:w="5102"/>
          </w:tcPr>
          <w:p>
            <w:r>
              <w:rPr>
                <w:sz w:val="19"/>
              </w:rPr>
              <w:t>Levantamiento y diagramación – Grupo 1 (FDCP y FPSIC)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19/10 – 30/10/2026</w:t>
            </w:r>
          </w:p>
        </w:tc>
      </w:tr>
      <w:tr>
        <w:tc>
          <w:tcPr>
            <w:tcW w:type="dxa" w:w="5102"/>
          </w:tcPr>
          <w:p>
            <w:r>
              <w:rPr>
                <w:sz w:val="19"/>
              </w:rPr>
              <w:t>Procedimientos To-Be del Grupo 1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06/11/2026</w:t>
            </w:r>
          </w:p>
        </w:tc>
      </w:tr>
      <w:tr>
        <w:tc>
          <w:tcPr>
            <w:tcW w:type="dxa" w:w="5102"/>
          </w:tcPr>
          <w:p>
            <w:r>
              <w:rPr>
                <w:sz w:val="19"/>
              </w:rPr>
              <w:t>Levantamiento y diagramación – Grupo 2 (FCA y FIEE)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09/11 – 20/11/2026</w:t>
            </w:r>
          </w:p>
        </w:tc>
      </w:tr>
      <w:tr>
        <w:tc>
          <w:tcPr>
            <w:tcW w:type="dxa" w:w="5102"/>
          </w:tcPr>
          <w:p>
            <w:r>
              <w:rPr>
                <w:sz w:val="19"/>
              </w:rPr>
              <w:t>Diagramación completa de las cuatro facultades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30/11/2026</w:t>
            </w:r>
          </w:p>
        </w:tc>
      </w:tr>
      <w:tr>
        <w:tc>
          <w:tcPr>
            <w:tcW w:type="dxa" w:w="5102"/>
          </w:tcPr>
          <w:p>
            <w:r>
              <w:rPr>
                <w:sz w:val="19"/>
              </w:rPr>
              <w:t>Validación, actas de conformidad y carga en SIGPRO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FDCP y FPSIC: 01/12 – 18/12/2026 · FIEE y FCA: 04/01 – 15/01/2027</w:t>
            </w:r>
          </w:p>
        </w:tc>
      </w:tr>
      <w:tr>
        <w:tc>
          <w:tcPr>
            <w:tcW w:type="dxa" w:w="5102"/>
          </w:tcPr>
          <w:p>
            <w:r>
              <w:rPr>
                <w:sz w:val="19"/>
              </w:rPr>
              <w:t>Cierre del despliegue e informe de lecciones aprendidas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22/01/2027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60"/>
      </w:pPr>
      <w:r>
        <w:rPr>
          <w:b/>
          <w:i w:val="0"/>
          <w:color w:val="0E1E3A"/>
        </w:rPr>
        <w:t>4. Criterios de aceptación</w:t>
      </w:r>
    </w:p>
    <w:p>
      <w:pPr>
        <w:spacing w:after="120"/>
        <w:jc w:val="both"/>
      </w:pPr>
      <w:r>
        <w:rPr>
          <w:b w:val="0"/>
          <w:i w:val="0"/>
        </w:rPr>
        <w:t>Cada procedimiento se dará por concluido cuando cuente con su texto completo, su diagrama BPMN 2.0 conforme y concordante con el texto, la codificación válida, el acta de conformidad firmada sin observaciones y su registro en SIGPRO dentro de los tres días hábiles siguientes al acta. El avance se medirá únicamente a través del Tablero de SIGPRO.</w:t>
      </w:r>
    </w:p>
    <w:p>
      <w:pPr>
        <w:spacing w:after="60"/>
      </w:pPr>
      <w:r>
        <w:rPr>
          <w:b/>
          <w:i w:val="0"/>
          <w:color w:val="0E1E3A"/>
        </w:rPr>
        <w:t>5. Coordinación y apoyo solicitado</w:t>
      </w:r>
    </w:p>
    <w:p>
      <w:pPr>
        <w:spacing w:after="120"/>
        <w:jc w:val="both"/>
      </w:pPr>
      <w:r>
        <w:rPr>
          <w:b w:val="0"/>
          <w:i w:val="0"/>
        </w:rPr>
        <w:t>Para el cumplimiento de lo programado, solicitamos a su despacho convocar a los jefes de las unidades orgánicas de la Facultad a la reunión de coordinación indicada y brindar las facilidades para las visitas de levantamiento de información del equipo de la Oficina de Racionalización, integrado por los analistas Álvaro Rojas Carnero, Isabel Flores Huamaní y Oriol Romero Saavedra.</w:t>
      </w:r>
    </w:p>
    <w:p>
      <w:pPr>
        <w:spacing w:after="120"/>
        <w:jc w:val="both"/>
      </w:pPr>
      <w:r>
        <w:rPr>
          <w:b w:val="0"/>
        </w:rPr>
        <w:t xml:space="preserve">Se adjunta al presente el </w:t>
      </w:r>
      <w:r>
        <w:rPr>
          <w:b/>
        </w:rPr>
        <w:t>cronograma detallado de la Fase 2</w:t>
      </w:r>
      <w:r>
        <w:rPr>
          <w:b w:val="0"/>
        </w:rPr>
        <w:t xml:space="preserve"> (Diagramación y Procedimentación), con las actividades por facultad, fechas y responsables.</w:t>
      </w:r>
    </w:p>
    <w:p>
      <w:pPr>
        <w:spacing w:after="200"/>
        <w:jc w:val="both"/>
      </w:pPr>
      <w:r>
        <w:rPr>
          <w:b w:val="0"/>
          <w:i w:val="0"/>
        </w:rPr>
        <w:t>Sin otro particular, hago propicia la oportunidad para expresarle las muestras de mi especial consideración y estima.</w:t>
      </w:r>
    </w:p>
    <w:p>
      <w:pPr>
        <w:spacing w:after="800"/>
      </w:pPr>
      <w:r>
        <w:rPr>
          <w:b w:val="0"/>
          <w:i w:val="0"/>
        </w:rPr>
        <w:t>Atentamente,</w:t>
      </w:r>
    </w:p>
    <w:p>
      <w:pPr>
        <w:spacing w:after="0"/>
        <w:jc w:val="center"/>
      </w:pPr>
      <w:r>
        <w:rPr>
          <w:b w:val="0"/>
          <w:i w:val="0"/>
        </w:rPr>
        <w:t>_________________________________</w:t>
      </w:r>
    </w:p>
    <w:p>
      <w:pPr>
        <w:spacing w:after="0"/>
        <w:jc w:val="center"/>
      </w:pPr>
      <w:r>
        <w:rPr>
          <w:b/>
          <w:i w:val="0"/>
        </w:rPr>
        <w:t>Jefe(a) de la Oficina General de Planificación</w:t>
      </w:r>
    </w:p>
    <w:p>
      <w:pPr>
        <w:spacing w:after="280"/>
        <w:jc w:val="center"/>
      </w:pPr>
      <w:r>
        <w:rPr>
          <w:b w:val="0"/>
          <w:i w:val="0"/>
        </w:rPr>
        <w:t>Universidad Nacional Mayor de San Marcos</w:t>
      </w:r>
    </w:p>
    <w:p>
      <w:pPr>
        <w:spacing w:after="0"/>
      </w:pPr>
      <w:r>
        <w:rPr>
          <w:b w:val="0"/>
          <w:i w:val="0"/>
          <w:sz w:val="18"/>
        </w:rPr>
        <w:t>Adjunto: Cronograma de la Fase 2 – Diagramación y Procedimentación (P01-PG-F2, sección 14).</w:t>
      </w:r>
    </w:p>
    <w:p>
      <w:pPr>
        <w:spacing w:after="120"/>
      </w:pPr>
      <w:r>
        <w:rPr>
          <w:b w:val="0"/>
          <w:i w:val="0"/>
          <w:sz w:val="18"/>
        </w:rPr>
        <w:t>C.c.: Oficina de Racionalización · Archivo</w:t>
      </w:r>
    </w:p>
    <w:sectPr w:rsidR="00FC693F" w:rsidRPr="0006063C" w:rsidSect="00034616">
      <w:headerReference w:type="default" r:id="rId9"/>
      <w:pgSz w:w="12240" w:h="15840"/>
      <w:pgMar w:top="1417" w:right="1417" w:bottom="124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0E1E3A"/>
        <w:sz w:val="20"/>
      </w:rPr>
      <w:t>UNIVERSIDAD NACIONAL MAYOR DE SAN MARCOS</w:t>
      <w:br/>
    </w:r>
    <w:r>
      <w:rPr>
        <w:sz w:val="17"/>
      </w:rPr>
      <w:t>Universidad del Perú, Decana de América</w:t>
      <w:br/>
      <w:t>Oficina General de Planificación · Oficina de Racionalización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