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A78D6"/>
          <w:spacing w:val="40"/>
          <w:sz w:val="22"/>
          <w:szCs w:val="22"/>
        </w:rPr>
        <w:t xml:space="preserve">SERIES CRONOLÓGICAS</w:t>
      </w:r>
    </w:p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Primera Práctica Calificada</w:t>
      </w:r>
    </w:p>
    <w:p>
      <w:pPr>
        <w:pBdr>
          <w:bottom w:val="single" w:color="2A78D6" w:sz="8" w:space="8"/>
        </w:pBdr>
        <w:spacing w:after="240"/>
        <w:jc w:val="center"/>
      </w:pPr>
      <w:r>
        <w:rPr>
          <w:i/>
          <w:iCs/>
          <w:color w:val="52514E"/>
          <w:sz w:val="24"/>
          <w:szCs w:val="24"/>
        </w:rPr>
        <w:t xml:space="preserve">Enunciados y solución desarrollada</w:t>
      </w:r>
    </w:p>
    <w:p>
      <w:pPr>
        <w:spacing w:after="120" w:line="276"/>
        <w:jc w:val="both"/>
      </w:pPr>
      <w:r>
        <w:rPr>
          <w:b/>
          <w:bCs/>
        </w:rPr>
        <w:t xml:space="preserve">Convenciones usadas en todo el solucionario.</w:t>
      </w:r>
      <w:r>
        <w:t xml:space="preserve"> En las preguntas 1 y 2 el índice de tiempo es </w:t>
      </w:r>
      <w:r>
        <w:rPr>
          <w:i/>
          <w:iCs/>
        </w:rPr>
        <w:t xml:space="preserve">t</w:t>
      </w:r>
      <w:r>
        <w:t xml:space="preserve"> = 1 para enero de 2000, …, </w:t>
      </w:r>
      <w:r>
        <w:rPr>
          <w:i/>
          <w:iCs/>
        </w:rPr>
        <w:t xml:space="preserve">t</w:t>
      </w:r>
      <w:r>
        <w:t xml:space="preserve"> = 72 para diciembre de 2005 y </w:t>
      </w:r>
      <w:r>
        <w:rPr>
          <w:i/>
          <w:iCs/>
        </w:rPr>
        <w:t xml:space="preserve">t</w:t>
      </w:r>
      <w:r>
        <w:t xml:space="preserve"> = 77 para mayo de 2006 (último dato). Por tanto, junio–diciembre de 2006 corresponden a </w:t>
      </w:r>
      <w:r>
        <w:rPr>
          <w:i/>
          <w:iCs/>
        </w:rPr>
        <w:t xml:space="preserve">t</w:t>
      </w:r>
      <w:r>
        <w:t xml:space="preserve"> = 78, …, 84. Y</w:t>
      </w:r>
      <w:r>
        <w:rPr>
          <w:vertAlign w:val="subscript"/>
        </w:rPr>
        <w:t xml:space="preserve">t</w:t>
      </w:r>
      <w:r>
        <w:t xml:space="preserve"> denota las ventas del mes </w:t>
      </w:r>
      <w:r>
        <w:rPr>
          <w:i/>
          <w:iCs/>
        </w:rPr>
        <w:t xml:space="preserve">t</w:t>
      </w:r>
      <w:r>
        <w:t xml:space="preserve">, T</w:t>
      </w:r>
      <w:r>
        <w:rPr>
          <w:vertAlign w:val="subscript"/>
        </w:rPr>
        <w:t xml:space="preserve">t</w:t>
      </w:r>
      <w:r>
        <w:t xml:space="preserve"> la tendencia, S</w:t>
      </w:r>
      <w:r>
        <w:rPr>
          <w:vertAlign w:val="subscript"/>
        </w:rPr>
        <w:t xml:space="preserve">t</w:t>
      </w:r>
      <w:r>
        <w:t xml:space="preserve"> el índice estacional e I</w:t>
      </w:r>
      <w:r>
        <w:rPr>
          <w:vertAlign w:val="subscript"/>
        </w:rPr>
        <w:t xml:space="preserve">t</w:t>
      </w:r>
      <w:r>
        <w:t xml:space="preserve"> el componente irregular. Se trabaja con todos los decimales y se muestran redondeados.</w:t>
      </w:r>
    </w:p>
    <w:p>
      <w:pPr>
        <w:spacing w:after="120" w:line="276"/>
        <w:jc w:val="both"/>
      </w:pPr>
      <w:r>
        <w:t xml:space="preserve">El procedimiento de descomposición es el clásico de razón (o diferencia) al promedio móvil, que es el que usa Minitab (el software del libro de Hanke y Wichern del que provienen los datos): promedio móvil centrado de 12 meses → valores estacionales brutos → mediana por mes → ajuste de los índices → desestacionalización → recta de tendencia por mínimos cuadrados sobre la serie desestacionalizada. Así los resultados pueden verificarse en Minitab con </w:t>
      </w:r>
      <w:r>
        <w:rPr>
          <w:i/>
          <w:iCs/>
        </w:rPr>
        <w:t xml:space="preserve">Stat › Time Series › Decomposition</w:t>
      </w:r>
      <w:r>
        <w:t xml:space="preserve">.</w:t>
      </w:r>
    </w:p>
    <w:p>
      <w:pPr>
        <w:pStyle w:val="Heading1"/>
      </w:pPr>
      <w:r>
        <w:t xml:space="preserve">Pregunta 1. Descomposición multiplicativa de las ventas de Cavanaugh Company</w:t>
      </w:r>
    </w:p>
    <w:p>
      <w:pPr>
        <w:pBdr>
          <w:left w:val="single" w:color="2A78D6" w:sz="24" w:space="10"/>
        </w:pBdr>
        <w:shd w:fill="EEF4FB" w:color="auto" w:val="clear"/>
        <w:spacing w:after="40" w:before="80"/>
        <w:ind w:left="240" w:right="120"/>
        <w:jc w:val="both"/>
      </w:pPr>
      <w:r>
        <w:rPr>
          <w:b/>
          <w:bCs/>
          <w:color w:val="2A78D6"/>
          <w:sz w:val="18"/>
          <w:szCs w:val="18"/>
        </w:rPr>
        <w:t xml:space="preserve">ENUNCIADO</w:t>
      </w:r>
    </w:p>
    <w:p>
      <w:pPr>
        <w:pBdr>
          <w:left w:val="single" w:color="2A78D6" w:sz="24" w:space="10"/>
        </w:pBdr>
        <w:shd w:fill="EEF4FB" w:color="auto" w:val="clear"/>
        <w:spacing w:after="0" w:before="0" w:line="290"/>
        <w:ind w:left="240" w:right="120"/>
        <w:jc w:val="both"/>
      </w:pPr>
      <w:r>
        <w:t xml:space="preserve">1.- Las ventas mensuales de Cavanaugh Company se muestran en la tabla P-14.</w:t>
      </w:r>
    </w:p>
    <w:p>
      <w:pPr>
        <w:pBdr>
          <w:left w:val="single" w:color="2A78D6" w:sz="24" w:space="10"/>
        </w:pBdr>
        <w:shd w:fill="EEF4FB" w:color="auto" w:val="clear"/>
        <w:spacing w:after="0" w:before="0" w:line="290"/>
        <w:ind w:left="240" w:right="120"/>
        <w:jc w:val="both"/>
      </w:pPr>
      <w:r>
        <w:t xml:space="preserve">a) Realice una descomposición multiplicativa de la serie de tiempo de las ventas de Cavanaugh Company, suponiendo los componentes de tendencia, estacional e irregular.</w:t>
      </w:r>
    </w:p>
    <w:p>
      <w:pPr>
        <w:pBdr>
          <w:left w:val="single" w:color="2A78D6" w:sz="24" w:space="10"/>
        </w:pBdr>
        <w:shd w:fill="EEF4FB" w:color="auto" w:val="clear"/>
        <w:spacing w:after="0" w:before="0" w:line="290"/>
        <w:ind w:left="240" w:right="120"/>
        <w:jc w:val="both"/>
      </w:pPr>
      <w:r>
        <w:t xml:space="preserve">b) Para pronosticar, ¿usaría el componente de tendencia, el componente estacional o ambos?</w:t>
      </w:r>
    </w:p>
    <w:p>
      <w:pPr>
        <w:pBdr>
          <w:left w:val="single" w:color="2A78D6" w:sz="24" w:space="10"/>
        </w:pBdr>
        <w:shd w:fill="EEF4FB" w:color="auto" w:val="clear"/>
        <w:spacing w:after="80"/>
        <w:ind w:left="240" w:right="120"/>
        <w:jc w:val="both"/>
      </w:pPr>
      <w:r>
        <w:t xml:space="preserve">c) Obtenga pronósticos para el resto del año 2006.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P-14. Ventas mensuales de Cavanaugh Company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2006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Enero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223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346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613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628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Febrero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261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392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308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Marzo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224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273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324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Abril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141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210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322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248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Mayo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148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196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189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272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Junio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186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257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Julio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167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223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247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324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Agosto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169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169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211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272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343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Septiembre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210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335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445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464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677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Octubre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278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347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460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560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680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858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Noviembre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298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375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488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612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711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895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Diciembre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245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203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326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467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610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664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anual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1762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2206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2648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3844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4869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5868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1780*</w:t>
            </w:r>
          </w:p>
        </w:tc>
      </w:tr>
    </w:tbl>
    <w:p>
      <w:pPr>
        <w:spacing w:after="200" w:before="60"/>
        <w:jc w:val="left"/>
      </w:pPr>
      <w:r>
        <w:rPr>
          <w:i/>
          <w:iCs/>
          <w:color w:val="52514E"/>
          <w:sz w:val="18"/>
          <w:szCs w:val="18"/>
        </w:rPr>
        <w:t xml:space="preserve">* El total de 2006 solo incluye enero–mayo. Para comparar: enero–mayo de 2005 suman 1789, y enero–mayo de 2006 suman 1780.</w:t>
      </w:r>
    </w:p>
    <w:p>
      <w:pPr>
        <w:pStyle w:val="Heading2"/>
      </w:pPr>
      <w:r>
        <w:t xml:space="preserve">Solución de 1 a) Descomposición multiplicativa  Y</w:t>
      </w:r>
      <w:r>
        <w:rPr>
          <w:vertAlign w:val="subscript"/>
        </w:rPr>
        <w:t xml:space="preserve">t</w:t>
      </w:r>
      <w:r>
        <w:t xml:space="preserve"> = T</w:t>
      </w:r>
      <w:r>
        <w:rPr>
          <w:vertAlign w:val="subscript"/>
        </w:rPr>
        <w:t xml:space="preserve">t</w:t>
      </w:r>
      <w:r>
        <w:t xml:space="preserve"> × S</w:t>
      </w:r>
      <w:r>
        <w:rPr>
          <w:vertAlign w:val="subscript"/>
        </w:rPr>
        <w:t xml:space="preserve">t</w:t>
      </w:r>
      <w:r>
        <w:t xml:space="preserve"> × I</w:t>
      </w:r>
      <w:r>
        <w:rPr>
          <w:vertAlign w:val="subscript"/>
        </w:rPr>
        <w:t xml:space="preserve">t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i/>
          <w:iCs/>
          <w:color w:val="52514E"/>
          <w:sz w:val="18"/>
          <w:szCs w:val="18"/>
        </w:rPr>
        <w:t xml:space="preserve">Figura 1. La serie tiene una tendencia creciente clara y un patrón estacional cuya amplitud crece con el nivel de la serie. Eso es justamente lo que justifica un modelo multiplicativo.</w:t>
      </w:r>
    </w:p>
    <w:p>
      <w:pPr>
        <w:pStyle w:val="Heading3"/>
      </w:pPr>
      <w:r>
        <w:t xml:space="preserve">Paso 1. Promedio móvil centrado de 12 meses (PMC)</w:t>
      </w:r>
    </w:p>
    <w:p>
      <w:pPr>
        <w:spacing w:after="120" w:line="276"/>
        <w:jc w:val="both"/>
      </w:pPr>
      <w:r>
        <w:t xml:space="preserve">Como el periodo estacional es par (L = 12), el promedio móvil de 12 meses queda entre dos meses. Por eso se centra con un promedio 2 × 12, que equivale a dar peso ½ a los extremos: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PMC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[ ½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t−6</w:t>
      </w:r>
      <w:r>
        <w:rPr>
          <w:rFonts w:ascii="Cambria Math" w:cs="Cambria Math" w:eastAsia="Cambria Math" w:hAnsi="Cambria Math"/>
          <w:sz w:val="22"/>
          <w:szCs w:val="22"/>
        </w:rPr>
        <w:t xml:space="preserve"> +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t−5</w:t>
      </w:r>
      <w:r>
        <w:rPr>
          <w:rFonts w:ascii="Cambria Math" w:cs="Cambria Math" w:eastAsia="Cambria Math" w:hAnsi="Cambria Math"/>
          <w:sz w:val="22"/>
          <w:szCs w:val="22"/>
        </w:rPr>
        <w:t xml:space="preserve"> + … +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t+5</w:t>
      </w:r>
      <w:r>
        <w:rPr>
          <w:rFonts w:ascii="Cambria Math" w:cs="Cambria Math" w:eastAsia="Cambria Math" w:hAnsi="Cambria Math"/>
          <w:sz w:val="22"/>
          <w:szCs w:val="22"/>
        </w:rPr>
        <w:t xml:space="preserve"> + ½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t+6</w:t>
      </w:r>
      <w:r>
        <w:rPr>
          <w:rFonts w:ascii="Cambria Math" w:cs="Cambria Math" w:eastAsia="Cambria Math" w:hAnsi="Cambria Math"/>
          <w:sz w:val="22"/>
          <w:szCs w:val="22"/>
        </w:rPr>
        <w:t xml:space="preserve"> ] / 12</w:t>
      </w:r>
    </w:p>
    <w:p>
      <w:pPr>
        <w:spacing w:after="120" w:line="276"/>
        <w:jc w:val="both"/>
      </w:pPr>
      <w:r>
        <w:t xml:space="preserve">Ejemplo (julio de 2000, </w:t>
      </w:r>
      <w:r>
        <w:rPr>
          <w:i/>
          <w:iCs/>
        </w:rPr>
        <w:t xml:space="preserve">t</w:t>
      </w:r>
      <w:r>
        <w:t xml:space="preserve"> = 7): PMC</w:t>
      </w:r>
      <w:r>
        <w:rPr>
          <w:vertAlign w:val="subscript"/>
        </w:rPr>
        <w:t xml:space="preserve">7</w:t>
      </w:r>
      <w:r>
        <w:t xml:space="preserve"> = [½(154) + 96 + 73 + 49 + 36 + 59 + 95 + 169 + 210 + 278 + 298 + 245 + ½(200)] / 12 = 1785 / 12 = 148.75. El PMC solo se puede calcular desde </w:t>
      </w:r>
      <w:r>
        <w:rPr>
          <w:i/>
          <w:iCs/>
        </w:rPr>
        <w:t xml:space="preserve">t</w:t>
      </w:r>
      <w:r>
        <w:t xml:space="preserve"> = 7 (jul-2000) hasta </w:t>
      </w:r>
      <w:r>
        <w:rPr>
          <w:i/>
          <w:iCs/>
        </w:rPr>
        <w:t xml:space="preserve">t</w:t>
      </w:r>
      <w:r>
        <w:t xml:space="preserve"> = 71 (nov-2005). Este PMC estima la tendencia-ciclo (T × C), sin la estacionalidad ni la irregularidad.</w:t>
      </w:r>
    </w:p>
    <w:p>
      <w:pPr>
        <w:pStyle w:val="Heading3"/>
      </w:pPr>
      <w:r>
        <w:t xml:space="preserve">Paso 2. Valores estacionales brutos (razón al promedio móvil)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/ PMC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 ≈ 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× I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</w:p>
    <w:p>
      <w:pPr>
        <w:spacing w:after="120" w:line="276"/>
        <w:jc w:val="both"/>
      </w:pPr>
      <w:r>
        <w:t xml:space="preserve">Ejemplo: r</w:t>
      </w:r>
      <w:r>
        <w:rPr>
          <w:vertAlign w:val="subscript"/>
        </w:rPr>
        <w:t xml:space="preserve">7</w:t>
      </w:r>
      <w:r>
        <w:t xml:space="preserve"> = 95 / 148.75 = 0.6387. La Tabla 1.1 resume todas las razones por mes y año. Para cada mes se toma la </w:t>
      </w:r>
      <w:r>
        <w:rPr>
          <w:b/>
          <w:bCs/>
        </w:rPr>
        <w:t xml:space="preserve">mediana</w:t>
      </w:r>
      <w:r>
        <w:t xml:space="preserve"> de sus razones (es menos sensible que la media a valores atípicos, como abril de 2005 o diciembre de 2001).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1.1. Razones Y</w:t>
      </w:r>
      <w:r>
        <w:rPr>
          <w:b/>
          <w:bCs/>
          <w:color w:val="1F3864"/>
          <w:sz w:val="20"/>
          <w:szCs w:val="20"/>
          <w:vertAlign w:val="subscript"/>
        </w:rPr>
        <w:t xml:space="preserve">t</w:t>
      </w:r>
      <w:r>
        <w:rPr>
          <w:b/>
          <w:bCs/>
          <w:color w:val="1F3864"/>
          <w:sz w:val="20"/>
          <w:szCs w:val="20"/>
        </w:rPr>
        <w:t xml:space="preserve">/PMC</w:t>
      </w:r>
      <w:r>
        <w:rPr>
          <w:b/>
          <w:bCs/>
          <w:color w:val="1F3864"/>
          <w:sz w:val="20"/>
          <w:szCs w:val="20"/>
          <w:vertAlign w:val="subscript"/>
        </w:rPr>
        <w:t xml:space="preserve">t</w:t>
      </w:r>
      <w:r>
        <w:rPr>
          <w:b/>
          <w:bCs/>
          <w:color w:val="1F3864"/>
          <w:sz w:val="20"/>
          <w:szCs w:val="20"/>
        </w:rPr>
        <w:t xml:space="preserve">, medianas e índices estacionales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900"/>
        <w:gridCol w:w="900"/>
        <w:gridCol w:w="900"/>
        <w:gridCol w:w="900"/>
        <w:gridCol w:w="900"/>
        <w:gridCol w:w="900"/>
        <w:gridCol w:w="1200"/>
        <w:gridCol w:w="1220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Mediana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Índice 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1.2079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1.2016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1.4111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1.4313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1.2721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1.2781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Febrero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0.5591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0.9381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1.0888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0.9031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0.9031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0.9074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Marzo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0.5236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0.5641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0.7850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0.8004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0.6129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0.6129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0.6157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Abril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0.4437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0.4330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0.5518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0.6973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0.4795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0.3646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0.4878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0.5029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0.3964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0.4236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0.4256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0.4903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0.4593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0.5280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0.4652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0.4674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0.6387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0.5979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0.6809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0.6029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0.6617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0.6502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0.6533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Agosto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1.1149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0.9127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0.8886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0.7985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0.8302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0.8300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0.8594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0.8634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Septiembre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1.3707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1.5597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1.3461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1.1275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1.3948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1.3584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1.3648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Octubre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1.7916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1.8631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1.7963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1.5740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1.6382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1.7712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1.7814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1.7898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Noviembre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1.8841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2.0121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1.6969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1.6950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1.8462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1.8563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1.8651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Diciembre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1.5194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1.0880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1.2236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1.4451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1.2816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1.2877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Suma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11.9437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12.0000</w:t>
            </w:r>
          </w:p>
        </w:tc>
      </w:tr>
    </w:tbl>
    <w:p>
      <w:pPr>
        <w:spacing w:after="200" w:before="60"/>
        <w:jc w:val="left"/>
      </w:pPr>
      <w:r>
        <w:rPr>
          <w:i/>
          <w:iCs/>
          <w:color w:val="52514E"/>
          <w:sz w:val="18"/>
          <w:szCs w:val="18"/>
        </w:rPr>
        <w:t xml:space="preserve">— : no hay PMC para ese mes (se pierden 6 meses al inicio y 6 al final de la serie).</w:t>
      </w:r>
    </w:p>
    <w:p>
      <w:pPr>
        <w:pStyle w:val="Heading3"/>
      </w:pPr>
      <w:r>
        <w:t xml:space="preserve">Paso 3. Ajuste de los índices estacionales</w:t>
      </w:r>
    </w:p>
    <w:p>
      <w:pPr>
        <w:spacing w:after="120" w:line="276"/>
        <w:jc w:val="both"/>
      </w:pPr>
      <w:r>
        <w:t xml:space="preserve">En el modelo multiplicativo los 12 índices deben sumar 12 (promedio 1). Las medianas suman 11.9437, así que se multiplican por el factor de ajuste: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factor = 12 / 11.9437 = 1.00472      ⇒     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2"/>
          <w:szCs w:val="22"/>
        </w:rPr>
        <w:t xml:space="preserve"> = mediana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2"/>
          <w:szCs w:val="22"/>
        </w:rPr>
        <w:t xml:space="preserve"> × 1.00472</w:t>
      </w:r>
    </w:p>
    <w:p>
      <w:pPr>
        <w:spacing w:after="120" w:line="276"/>
        <w:jc w:val="both"/>
      </w:pPr>
      <w:r>
        <w:t xml:space="preserve">Por ejemplo, S</w:t>
      </w:r>
      <w:r>
        <w:rPr>
          <w:vertAlign w:val="subscript"/>
        </w:rPr>
        <w:t xml:space="preserve">Nov</w:t>
      </w:r>
      <w:r>
        <w:t xml:space="preserve"> = 1.8563 × 1.00472 = 1.8651. </w:t>
      </w:r>
      <w:r>
        <w:rPr>
          <w:b/>
          <w:bCs/>
        </w:rPr>
        <w:t xml:space="preserve">Interpretación:</w:t>
      </w:r>
      <w:r>
        <w:t xml:space="preserve"> en noviembre las ventas están en promedio un 86.5 % por encima de la tendencia; en octubre, un 79.0 % por encima. En mayo están un 57.4 % por debajo, y en abril un 51.8 % por debajo. La temporada alta va de septiembre a enero y la baja, de marzo a julio.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i/>
          <w:iCs/>
          <w:color w:val="52514E"/>
          <w:sz w:val="18"/>
          <w:szCs w:val="18"/>
        </w:rPr>
        <w:t xml:space="preserve">Figura 2. Índices estacionales. La línea discontinua marca el nivel 1 (mes «promedio»).</w:t>
      </w:r>
    </w:p>
    <w:p>
      <w:pPr>
        <w:pStyle w:val="Heading3"/>
      </w:pPr>
      <w:r>
        <w:t xml:space="preserve">Paso 4. Serie desestacionalizada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d</w:t>
      </w:r>
      <w:r>
        <w:rPr>
          <w:rFonts w:ascii="Cambria Math" w:cs="Cambria Math" w:eastAsia="Cambria Math" w:hAnsi="Cambria Math"/>
          <w:sz w:val="22"/>
          <w:szCs w:val="22"/>
        </w:rPr>
        <w:t xml:space="preserve"> =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/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</w:p>
    <w:p>
      <w:pPr>
        <w:spacing w:after="120" w:line="276"/>
        <w:jc w:val="both"/>
      </w:pPr>
      <w:r>
        <w:t xml:space="preserve">Ejemplo (enero de 2000): Y</w:t>
      </w:r>
      <w:r>
        <w:rPr>
          <w:vertAlign w:val="subscript"/>
        </w:rPr>
        <w:t xml:space="preserve">1</w:t>
      </w:r>
      <w:r>
        <w:rPr>
          <w:vertAlign w:val="superscript"/>
        </w:rPr>
        <w:t xml:space="preserve">d</w:t>
      </w:r>
      <w:r>
        <w:t xml:space="preserve"> = 154 / 1.2781 = 120.50. La serie desestacionalizada completa está en el Anexo A.</w:t>
      </w:r>
    </w:p>
    <w:p>
      <w:pPr>
        <w:pStyle w:val="Heading3"/>
      </w:pPr>
      <w:r>
        <w:t xml:space="preserve">Paso 5. Componente de tendencia (mínimos cuadrados sobre la serie desestacionalizada)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72.6199 + 6.0128 t</w:t>
      </w:r>
    </w:p>
    <w:p>
      <w:pPr>
        <w:spacing w:after="120" w:line="276"/>
        <w:jc w:val="both"/>
      </w:pPr>
      <w:r>
        <w:t xml:space="preserve">R</w:t>
      </w:r>
      <w:r>
        <w:rPr>
          <w:vertAlign w:val="superscript"/>
        </w:rPr>
        <w:t xml:space="preserve">2</w:t>
      </w:r>
      <w:r>
        <w:t xml:space="preserve"> = 0.8711; error estándar de la pendiente = 0.2671, t = 22.51 (p &lt; 0.001). La pendiente es muy significativa: libre de estacionalidad, las ventas crecen en promedio </w:t>
      </w:r>
      <w:r>
        <w:rPr>
          <w:b/>
          <w:bCs/>
        </w:rPr>
        <w:t xml:space="preserve">6.01 unidades por mes</w:t>
      </w:r>
      <w:r>
        <w:t xml:space="preserve"> (≈ 72.2 por año).</w:t>
      </w:r>
    </w:p>
    <w:p>
      <w:pPr>
        <w:pStyle w:val="Heading3"/>
      </w:pPr>
      <w:r>
        <w:t xml:space="preserve">Paso 6. Valores ajustados y componente irregular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×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           I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/ (T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×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)</w:t>
      </w:r>
    </w:p>
    <w:p>
      <w:pPr>
        <w:spacing w:after="120" w:line="276"/>
        <w:jc w:val="both"/>
      </w:pPr>
      <w:r>
        <w:t xml:space="preserve">Ejemplo (</w:t>
      </w:r>
      <w:r>
        <w:rPr>
          <w:i/>
          <w:iCs/>
        </w:rPr>
        <w:t xml:space="preserve">t</w:t>
      </w:r>
      <w:r>
        <w:t xml:space="preserve"> = 1): T</w:t>
      </w:r>
      <w:r>
        <w:rPr>
          <w:vertAlign w:val="subscript"/>
        </w:rPr>
        <w:t xml:space="preserve">1</w:t>
      </w:r>
      <w:r>
        <w:t xml:space="preserve"> = 72.6199 + 6.0128(1) = 78.63; Ŷ</w:t>
      </w:r>
      <w:r>
        <w:rPr>
          <w:vertAlign w:val="subscript"/>
        </w:rPr>
        <w:t xml:space="preserve">1</w:t>
      </w:r>
      <w:r>
        <w:t xml:space="preserve"> = 78.63 × 1.2781 = 100.50; I</w:t>
      </w:r>
      <w:r>
        <w:rPr>
          <w:vertAlign w:val="subscript"/>
        </w:rPr>
        <w:t xml:space="preserve">1</w:t>
      </w:r>
      <w:r>
        <w:t xml:space="preserve"> = 154 / 100.50 = 1.5324. Los valores de I</w:t>
      </w:r>
      <w:r>
        <w:rPr>
          <w:vertAlign w:val="subscript"/>
        </w:rPr>
        <w:t xml:space="preserve">t</w:t>
      </w:r>
      <w:r>
        <w:t xml:space="preserve"> oscilan alrededor de 1, sin un patrón sistemático. Como el enunciado no considera el ciclo, el irregular absorbe también cualquier efecto cíclico.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1.2. Medidas de precisión del modelo multiplicativo (77 meses)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370"/>
        <w:gridCol w:w="250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Medida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Fórmula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MAPE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(1/n) Σ |e</w:t>
            </w:r>
            <w:r>
              <w:rPr>
                <w:sz w:val="18"/>
                <w:szCs w:val="18"/>
                <w:vertAlign w:val="subscript"/>
              </w:rPr>
              <w:t xml:space="preserve">t</w:t>
            </w:r>
            <w:r>
              <w:rPr>
                <w:sz w:val="18"/>
                <w:szCs w:val="18"/>
              </w:rPr>
              <w:t xml:space="preserve">/Y</w:t>
            </w:r>
            <w:r>
              <w:rPr>
                <w:sz w:val="18"/>
                <w:szCs w:val="18"/>
                <w:vertAlign w:val="subscript"/>
              </w:rPr>
              <w:t xml:space="preserve">t</w:t>
            </w:r>
            <w:r>
              <w:rPr>
                <w:sz w:val="18"/>
                <w:szCs w:val="18"/>
              </w:rPr>
              <w:t xml:space="preserve">| × 100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14.21 %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MAD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(1/n) Σ |e</w:t>
            </w:r>
            <w:r>
              <w:rPr>
                <w:sz w:val="18"/>
                <w:szCs w:val="18"/>
                <w:vertAlign w:val="subscript"/>
              </w:rPr>
              <w:t xml:space="preserve">t</w:t>
            </w:r>
            <w:r>
              <w:rPr>
                <w:sz w:val="18"/>
                <w:szCs w:val="18"/>
              </w:rPr>
              <w:t xml:space="preserve">|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32.63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MSD (ECM)</w:t>
            </w:r>
          </w:p>
        </w:tc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(1/n) Σ e</w:t>
            </w:r>
            <w:r>
              <w:rPr>
                <w:sz w:val="18"/>
                <w:szCs w:val="18"/>
                <w:vertAlign w:val="subscript"/>
              </w:rPr>
              <w:t xml:space="preserve">t</w:t>
            </w:r>
            <w:r>
              <w:rPr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1913.95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Solución de 1 b) ¿Tendencia, estacionalidad o ambos?</w:t>
      </w:r>
    </w:p>
    <w:p>
      <w:pPr>
        <w:spacing w:after="120" w:line="276"/>
        <w:jc w:val="both"/>
      </w:pPr>
      <w:r>
        <w:rPr>
          <w:b/>
          <w:bCs/>
        </w:rPr>
        <w:t xml:space="preserve">Respuesta: se deben usar ambos componentes.</w:t>
      </w:r>
      <w:r>
        <w:t xml:space="preserve"> Las dos componentes son importantes y ninguna basta por sí sola: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Tendencia:</w:t>
      </w:r>
      <w:r>
        <w:t xml:space="preserve"> la pendiente (6.01 por mes) es altamente significativa (t = 22.5) y explica el 87.1 % de la variación de la serie desestacionalizada. Las ventas anuales pasaron de 1762 (2000) a 5868 (2005).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Estacionalidad:</w:t>
      </w:r>
      <w:r>
        <w:t xml:space="preserve"> los índices van de 0.426 (mayo) a 1.865 (noviembre). Es decir, noviembre vende más de 4 veces lo que vende mayo, con el mismo nivel de tendencia.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Evidencia empírica:</w:t>
      </w:r>
      <w:r>
        <w:t xml:space="preserve"> si se pronostica con un solo componente, el error se dispara (Tabla 1.3).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1.3. Precisión dentro de la muestra según los componentes usados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0"/>
        <w:gridCol w:w="1500"/>
        <w:gridCol w:w="1500"/>
        <w:gridCol w:w="1700"/>
      </w:tblGrid>
      <w:tr>
        <w:trPr>
          <w:cantSplit/>
          <w:tblHeader/>
        </w:trPr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Modelo de pronóstico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MSD</w:t>
            </w:r>
          </w:p>
        </w:tc>
      </w:tr>
      <w:tr>
        <w:trPr>
          <w:cantSplit/>
        </w:trPr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tendencia: Ŷ</w:t>
            </w:r>
            <w:r>
              <w:rPr>
                <w:b w:val="false"/>
                <w:bCs w:val="false"/>
                <w:sz w:val="18"/>
                <w:szCs w:val="18"/>
                <w:vertAlign w:val="subscript"/>
              </w:rPr>
              <w:t xml:space="preserve">t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T</w:t>
            </w:r>
            <w:r>
              <w:rPr>
                <w:b w:val="false"/>
                <w:bCs w:val="false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58.13 %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128.98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23557.6</w:t>
            </w:r>
          </w:p>
        </w:tc>
      </w:tr>
      <w:tr>
        <w:trPr>
          <w:cantSplit/>
        </w:trPr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estacionalidad: Ŷ</w:t>
            </w:r>
            <w:r>
              <w:rPr>
                <w:b w:val="false"/>
                <w:bCs w:val="false"/>
                <w:sz w:val="18"/>
                <w:szCs w:val="18"/>
                <w:vertAlign w:val="subscript"/>
              </w:rPr>
              <w:t xml:space="preserve">t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Ȳ × S</w:t>
            </w:r>
            <w:r>
              <w:rPr>
                <w:b w:val="false"/>
                <w:bCs w:val="false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53.13 %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113.43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18837.5</w:t>
            </w:r>
          </w:p>
        </w:tc>
      </w:tr>
      <w:tr>
        <w:trPr>
          <w:cantSplit/>
        </w:trPr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Tendencia y estacionalidad: Ŷ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t</w:t>
            </w:r>
            <w:r>
              <w:rPr>
                <w:b/>
                <w:bCs/>
                <w:sz w:val="18"/>
                <w:szCs w:val="18"/>
              </w:rPr>
              <w:t xml:space="preserve"> = T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t</w:t>
            </w:r>
            <w:r>
              <w:rPr>
                <w:b/>
                <w:bCs/>
                <w:sz w:val="18"/>
                <w:szCs w:val="18"/>
              </w:rPr>
              <w:t xml:space="preserve"> × S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14.21 %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32.63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1914.0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El componente irregular no se pronostica: por definición es aleatorio y su valor esperado es 1 en el modelo multiplicativo.</w:t>
      </w:r>
    </w:p>
    <w:p>
      <w:pPr>
        <w:pStyle w:val="Heading2"/>
      </w:pPr>
      <w:r>
        <w:t xml:space="preserve">Solución de 1 c) Pronósticos para junio–diciembre de 2006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×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(72.6199 + 6.0128 t) ×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mes</w:t>
      </w:r>
    </w:p>
    <w:p>
      <w:pPr>
        <w:spacing w:after="120" w:line="276"/>
        <w:jc w:val="both"/>
      </w:pPr>
      <w:r>
        <w:t xml:space="preserve">Ejemplo (junio de 2006, </w:t>
      </w:r>
      <w:r>
        <w:rPr>
          <w:i/>
          <w:iCs/>
        </w:rPr>
        <w:t xml:space="preserve">t</w:t>
      </w:r>
      <w:r>
        <w:t xml:space="preserve"> = 78): T</w:t>
      </w:r>
      <w:r>
        <w:rPr>
          <w:vertAlign w:val="subscript"/>
        </w:rPr>
        <w:t xml:space="preserve">78</w:t>
      </w:r>
      <w:r>
        <w:t xml:space="preserve"> = 72.6199 + 6.0128(78) = 541.61; Ŷ</w:t>
      </w:r>
      <w:r>
        <w:rPr>
          <w:vertAlign w:val="subscript"/>
        </w:rPr>
        <w:t xml:space="preserve">78</w:t>
      </w:r>
      <w:r>
        <w:t xml:space="preserve"> = 541.61 × 0.4674 = </w:t>
      </w:r>
      <w:r>
        <w:rPr>
          <w:b/>
          <w:bCs/>
        </w:rPr>
        <w:t xml:space="preserve">253.2</w:t>
      </w:r>
      <w:r>
        <w:t xml:space="preserve">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1.4. Pronósticos de ventas con el modelo multiplicativo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0"/>
        <w:gridCol w:w="10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Tendencia T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Índice 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Pronóstico Ŷ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Junio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541.61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0.4674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253.2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Julio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547.63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0.6533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357.7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Agosto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553.64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0.8634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478.0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Septiembre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559.65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1.3648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763.8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Octubre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565.67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1.7898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1012.4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Noviembre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571.68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1.8651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1066.2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Diciembre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577.69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1.2877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743.9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jun–dic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4675.3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Con los datos reales de enero–mayo (1780) más estos pronósticos, las ventas estimadas de 2006 suman </w:t>
      </w:r>
      <w:r>
        <w:rPr>
          <w:b/>
          <w:bCs/>
        </w:rPr>
        <w:t xml:space="preserve">6455</w:t>
      </w:r>
      <w:r>
        <w:t xml:space="preserve">, un 10.0 % más que en 2005 (5868).</w:t>
      </w:r>
    </w:p>
    <w:p>
      <w:pPr>
        <w:pBdr>
          <w:left w:val="single" w:color="EDA100" w:sz="24" w:space="10"/>
        </w:pBdr>
        <w:shd w:fill="FFF6E0" w:color="auto" w:val="clear"/>
        <w:spacing w:after="160" w:before="80" w:line="276"/>
        <w:ind w:left="240" w:right="120"/>
        <w:jc w:val="both"/>
      </w:pPr>
      <w:r>
        <w:rPr>
          <w:b/>
          <w:bCs/>
          <w:color w:val="8A5A00"/>
        </w:rPr>
        <w:t xml:space="preserve">Nota del docente. </w:t>
      </w:r>
      <w:r>
        <w:t xml:space="preserve">entre enero y mayo de 2006 se vendió prácticamente lo mismo que en el mismo periodo de 2005 (1780 frente a 1789). Esto sugiere que el crecimiento se está frenando, así que estos pronósticos podrían resultar algo optimistas. En la práctica conviene actualizarlos cada mes, a medida que llegan datos nuevos.</w:t>
      </w:r>
    </w:p>
    <w:p>
      <w:r>
        <w:br w:type="page"/>
      </w:r>
    </w:p>
    <w:p>
      <w:pPr>
        <w:pStyle w:val="Heading1"/>
      </w:pPr>
      <w:r>
        <w:t xml:space="preserve">Pregunta 2. Descomposición aditiva de ln(ventas)</w:t>
      </w:r>
    </w:p>
    <w:p>
      <w:pPr>
        <w:pBdr>
          <w:left w:val="single" w:color="2A78D6" w:sz="24" w:space="10"/>
        </w:pBdr>
        <w:shd w:fill="EEF4FB" w:color="auto" w:val="clear"/>
        <w:spacing w:after="40" w:before="80"/>
        <w:ind w:left="240" w:right="120"/>
        <w:jc w:val="both"/>
      </w:pPr>
      <w:r>
        <w:rPr>
          <w:b/>
          <w:bCs/>
          <w:color w:val="2A78D6"/>
          <w:sz w:val="18"/>
          <w:szCs w:val="18"/>
        </w:rPr>
        <w:t xml:space="preserve">ENUNCIADO</w:t>
      </w:r>
    </w:p>
    <w:p>
      <w:pPr>
        <w:pBdr>
          <w:left w:val="single" w:color="2A78D6" w:sz="24" w:space="10"/>
        </w:pBdr>
        <w:shd w:fill="EEF4FB" w:color="auto" w:val="clear"/>
        <w:spacing w:after="0" w:before="0" w:line="290"/>
        <w:ind w:left="240" w:right="120"/>
        <w:jc w:val="both"/>
      </w:pPr>
      <w:r>
        <w:t xml:space="preserve">2.- Construya una tabla similar a la P-14 con los logaritmos naturales de las ventas mensuales. Por ejemplo, el valor para enero del 2000 es ln 154 = 5.037.</w:t>
      </w:r>
    </w:p>
    <w:p>
      <w:pPr>
        <w:pBdr>
          <w:left w:val="single" w:color="2A78D6" w:sz="24" w:space="10"/>
        </w:pBdr>
        <w:shd w:fill="EEF4FB" w:color="auto" w:val="clear"/>
        <w:spacing w:after="0" w:before="0" w:line="290"/>
        <w:ind w:left="240" w:right="120"/>
        <w:jc w:val="both"/>
      </w:pPr>
      <w:r>
        <w:t xml:space="preserve">a) Haga una descomposición aditiva de ln(ventas), considerando el modelo: T + S + I.</w:t>
      </w:r>
    </w:p>
    <w:p>
      <w:pPr>
        <w:pBdr>
          <w:left w:val="single" w:color="2A78D6" w:sz="24" w:space="10"/>
        </w:pBdr>
        <w:shd w:fill="EEF4FB" w:color="auto" w:val="clear"/>
        <w:spacing w:after="0" w:before="0" w:line="290"/>
        <w:ind w:left="240" w:right="120"/>
        <w:jc w:val="both"/>
      </w:pPr>
      <w:r>
        <w:t xml:space="preserve">b) Para pronosticar, ¿usaría el componente de la tendencia, el componente estacional o ambos?</w:t>
      </w:r>
    </w:p>
    <w:p>
      <w:pPr>
        <w:pBdr>
          <w:left w:val="single" w:color="2A78D6" w:sz="24" w:space="10"/>
        </w:pBdr>
        <w:shd w:fill="EEF4FB" w:color="auto" w:val="clear"/>
        <w:spacing w:after="0" w:before="0" w:line="290"/>
        <w:ind w:left="240" w:right="120"/>
        <w:jc w:val="both"/>
      </w:pPr>
      <w:r>
        <w:t xml:space="preserve">c) Elabore pronósticos para ln(ventas) para los meses restantes del 2006.</w:t>
      </w:r>
    </w:p>
    <w:p>
      <w:pPr>
        <w:pBdr>
          <w:left w:val="single" w:color="2A78D6" w:sz="24" w:space="10"/>
        </w:pBdr>
        <w:shd w:fill="EEF4FB" w:color="auto" w:val="clear"/>
        <w:spacing w:after="0" w:before="0" w:line="290"/>
        <w:ind w:left="240" w:right="120"/>
        <w:jc w:val="both"/>
      </w:pPr>
      <w:r>
        <w:t xml:space="preserve">d) Tome los antilogaritmos de los pronósticos calculados en el inciso c) para obtener pronósticos de las ventas reales para el año 2006.</w:t>
      </w:r>
    </w:p>
    <w:p>
      <w:pPr>
        <w:pBdr>
          <w:left w:val="single" w:color="2A78D6" w:sz="24" w:space="10"/>
        </w:pBdr>
        <w:shd w:fill="EEF4FB" w:color="auto" w:val="clear"/>
        <w:spacing w:after="80"/>
        <w:ind w:left="240" w:right="120"/>
        <w:jc w:val="both"/>
      </w:pPr>
      <w:r>
        <w:t xml:space="preserve">e) Compare los pronósticos del inciso d) con los del inciso c) del problema 14 [es decir, la pregunta 1 de esta práctica]. ¿Cuál conjunto de pronósticos prefiere usted? ¿Por qué?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2.1. Logaritmo natural de las ventas mensuales, ln(Y</w:t>
      </w:r>
      <w:r>
        <w:rPr>
          <w:b/>
          <w:bCs/>
          <w:color w:val="1F3864"/>
          <w:sz w:val="20"/>
          <w:szCs w:val="20"/>
          <w:vertAlign w:val="subscript"/>
        </w:rPr>
        <w:t xml:space="preserve">t</w:t>
      </w:r>
      <w:r>
        <w:rPr>
          <w:b/>
          <w:bCs/>
          <w:color w:val="1F3864"/>
          <w:sz w:val="20"/>
          <w:szCs w:val="20"/>
        </w:rPr>
        <w:t xml:space="preserve">)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cantSplit/>
          <w:tblHeader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2006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Enero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5.037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5.298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5.407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5.846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6.250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6.418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6.443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Febrero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4.564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4.771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4.644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5.565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6.001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5.971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5.730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Marzo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4.290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4.500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4.673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5.412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5.704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5.609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5.781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Abril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3.892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4.369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4.443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4.949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5.347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5.775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5.513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Mayo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3.584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4.357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4.317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4.997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5.278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5.242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5.606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Junio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4.078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4.511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4.595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4.977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5.226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5.549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Julio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4.554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5.118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4.905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5.407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5.509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5.781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Agosto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5.130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5.130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5.352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5.606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5.838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6.001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Septiembre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5.347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5.666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5.814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6.098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6.140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6.518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Octubre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5.628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5.849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6.131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6.328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6.522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6.755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Noviembre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5.697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5.927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6.190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6.417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6.567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6.797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Diciembre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5.501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5.313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5.787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6.146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6.413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6.498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</w:tbl>
    <w:p>
      <w:pPr>
        <w:spacing w:after="200" w:before="60"/>
        <w:jc w:val="left"/>
      </w:pPr>
      <w:r>
        <w:rPr>
          <w:i/>
          <w:iCs/>
          <w:color w:val="52514E"/>
          <w:sz w:val="18"/>
          <w:szCs w:val="18"/>
        </w:rPr>
        <w:t xml:space="preserve">Ejemplos: ln 154 = 5.037 (enero de 2000); ln 895 = 6.797 (noviembre de 2005).</w:t>
      </w:r>
    </w:p>
    <w:p>
      <w:pPr>
        <w:spacing w:after="120" w:line="276"/>
        <w:jc w:val="both"/>
      </w:pPr>
      <w:r>
        <w:rPr>
          <w:b/>
          <w:bCs/>
        </w:rPr>
        <w:t xml:space="preserve">¿Por qué usar logaritmos?</w:t>
      </w:r>
      <w:r>
        <w:t xml:space="preserve"> Al tomar logaritmos, un modelo multiplicativo se vuelve aditivo, porque ln(T × S × I) = ln T + ln S + ln I. Además se estabiliza la varianza: la amplitud estacional, que en ventas crece con el nivel, se vuelve aproximadamente constante en logaritmos. Por eso es razonable aplicar un modelo aditivo a ln(ventas).</w:t>
      </w:r>
    </w:p>
    <w:p>
      <w:pPr>
        <w:pStyle w:val="Heading2"/>
      </w:pPr>
      <w:r>
        <w:t xml:space="preserve">Solución de 2 a) Descomposición aditiva  ln Y</w:t>
      </w:r>
      <w:r>
        <w:rPr>
          <w:vertAlign w:val="subscript"/>
        </w:rPr>
        <w:t xml:space="preserve">t</w:t>
      </w:r>
      <w:r>
        <w:t xml:space="preserve"> = T</w:t>
      </w:r>
      <w:r>
        <w:rPr>
          <w:vertAlign w:val="subscript"/>
        </w:rPr>
        <w:t xml:space="preserve">t</w:t>
      </w:r>
      <w:r>
        <w:t xml:space="preserve"> + S</w:t>
      </w:r>
      <w:r>
        <w:rPr>
          <w:vertAlign w:val="subscript"/>
        </w:rPr>
        <w:t xml:space="preserve">t</w:t>
      </w:r>
      <w:r>
        <w:t xml:space="preserve"> + I</w:t>
      </w:r>
      <w:r>
        <w:rPr>
          <w:vertAlign w:val="subscript"/>
        </w:rPr>
        <w:t xml:space="preserve">t</w:t>
      </w:r>
    </w:p>
    <w:p>
      <w:pPr>
        <w:pStyle w:val="Heading3"/>
      </w:pPr>
      <w:r>
        <w:t xml:space="preserve">Paso 1. Promedio móvil centrado de 12 meses de ln Y</w:t>
      </w:r>
      <w:r>
        <w:rPr>
          <w:vertAlign w:val="subscript"/>
        </w:rPr>
        <w:t xml:space="preserve">t</w:t>
      </w:r>
    </w:p>
    <w:p>
      <w:pPr>
        <w:spacing w:after="120" w:line="276"/>
        <w:jc w:val="both"/>
      </w:pPr>
      <w:r>
        <w:t xml:space="preserve">Se usa la misma fórmula 2 × 12 de la pregunta 1, ahora aplicada a ln Y</w:t>
      </w:r>
      <w:r>
        <w:rPr>
          <w:vertAlign w:val="subscript"/>
        </w:rPr>
        <w:t xml:space="preserve">t</w:t>
      </w:r>
      <w:r>
        <w:t xml:space="preserve">. Ejemplo: PMC</w:t>
      </w:r>
      <w:r>
        <w:rPr>
          <w:vertAlign w:val="subscript"/>
        </w:rPr>
        <w:t xml:space="preserve">7</w:t>
      </w:r>
      <w:r>
        <w:t xml:space="preserve"> = 4.7860.</w:t>
      </w:r>
    </w:p>
    <w:p>
      <w:pPr>
        <w:pStyle w:val="Heading3"/>
      </w:pPr>
      <w:r>
        <w:t xml:space="preserve">Paso 2. Valores estacionales brutos (diferencia al promedio móvil)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ln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− PMC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 ≈ 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+ I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</w:p>
    <w:p>
      <w:pPr>
        <w:spacing w:after="120" w:line="276"/>
        <w:jc w:val="both"/>
      </w:pPr>
      <w:r>
        <w:t xml:space="preserve">Ejemplo: d</w:t>
      </w:r>
      <w:r>
        <w:rPr>
          <w:vertAlign w:val="subscript"/>
        </w:rPr>
        <w:t xml:space="preserve">7</w:t>
      </w:r>
      <w:r>
        <w:t xml:space="preserve"> = ln 95 − 4.7860 = 4.5539 − 4.7860 = −0.2321.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2.2. Diferencias ln Y</w:t>
      </w:r>
      <w:r>
        <w:rPr>
          <w:b/>
          <w:bCs/>
          <w:color w:val="1F3864"/>
          <w:sz w:val="20"/>
          <w:szCs w:val="20"/>
          <w:vertAlign w:val="subscript"/>
        </w:rPr>
        <w:t xml:space="preserve">t</w:t>
      </w:r>
      <w:r>
        <w:rPr>
          <w:b/>
          <w:bCs/>
          <w:color w:val="1F3864"/>
          <w:sz w:val="20"/>
          <w:szCs w:val="20"/>
        </w:rPr>
        <w:t xml:space="preserve"> − PMC</w:t>
      </w:r>
      <w:r>
        <w:rPr>
          <w:b/>
          <w:bCs/>
          <w:color w:val="1F3864"/>
          <w:sz w:val="20"/>
          <w:szCs w:val="20"/>
          <w:vertAlign w:val="subscript"/>
        </w:rPr>
        <w:t xml:space="preserve">t</w:t>
      </w:r>
      <w:r>
        <w:rPr>
          <w:b/>
          <w:bCs/>
          <w:color w:val="1F3864"/>
          <w:sz w:val="20"/>
          <w:szCs w:val="20"/>
        </w:rPr>
        <w:t xml:space="preserve">, medianas e índices estacionales aditivos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900"/>
        <w:gridCol w:w="900"/>
        <w:gridCol w:w="900"/>
        <w:gridCol w:w="900"/>
        <w:gridCol w:w="900"/>
        <w:gridCol w:w="900"/>
        <w:gridCol w:w="1200"/>
        <w:gridCol w:w="1220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2005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Mediana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Índice 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0.3029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0.3257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0.4443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0.3318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0.3346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Febrero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−0.2482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−0.4374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0.0184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0.1659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−0.0210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−0.0210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−0.0181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Marzo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−0.5324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−0.4244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−0.1569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−0.1432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−0.4053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−0.4053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−0.4025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Abril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−0.6853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−0.6725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−0.6398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−0.5097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−0.2657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−0.6398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−0.6370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−0.7169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−0.8203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−0.6090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−0.5930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−0.8178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−0.7169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−0.7140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−0.5644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−0.6539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−0.6627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−0.5236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−0.5734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−0.5706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−0.2321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0.0460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−0.3013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−0.2553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−0.3972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−0.2964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−0.2758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−0.2730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Agosto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0.3244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0.0586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0.0886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−0.0916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−0.0747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−0.0667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−0.0040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−0.0012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Septiembre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0.5243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0.5932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0.3703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0.2327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0.4524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0.4671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0.4700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Octubre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0.7762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0.7658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0.7470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0.5713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0.6010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0.6931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0.7201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0.7229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Noviembre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0.7935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0.8420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0.7567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0.6318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0.6293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0.7311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0.7439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0.7467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Diciembre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0.5474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0.2264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0.3090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0.3394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0.3422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Promedio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−0.00284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0.0000</w:t>
            </w:r>
          </w:p>
        </w:tc>
      </w:tr>
    </w:tbl>
    <w:p>
      <w:pPr>
        <w:pStyle w:val="Heading3"/>
      </w:pPr>
      <w:r>
        <w:t xml:space="preserve">Paso 3. Ajuste de los índices</w:t>
      </w:r>
    </w:p>
    <w:p>
      <w:pPr>
        <w:spacing w:after="120" w:line="276"/>
        <w:jc w:val="both"/>
      </w:pPr>
      <w:r>
        <w:t xml:space="preserve">En el modelo aditivo los índices deben sumar 0 (promedio 0). El promedio de las medianas es −0.00284, así que a cada mediana se le resta ese valor: S</w:t>
      </w:r>
      <w:r>
        <w:rPr>
          <w:vertAlign w:val="subscript"/>
        </w:rPr>
        <w:t xml:space="preserve">k</w:t>
      </w:r>
      <w:r>
        <w:t xml:space="preserve"> = mediana</w:t>
      </w:r>
      <w:r>
        <w:rPr>
          <w:vertAlign w:val="subscript"/>
        </w:rPr>
        <w:t xml:space="preserve">k</w:t>
      </w:r>
      <w:r>
        <w:t xml:space="preserve"> − (−0.00284). Por ejemplo, S</w:t>
      </w:r>
      <w:r>
        <w:rPr>
          <w:vertAlign w:val="subscript"/>
        </w:rPr>
        <w:t xml:space="preserve">Nov</w:t>
      </w:r>
      <w:r>
        <w:t xml:space="preserve"> = 0.7439 + 0.00284 = 0.7467.</w:t>
      </w:r>
    </w:p>
    <w:p>
      <w:pPr>
        <w:spacing w:after="120" w:line="276"/>
        <w:jc w:val="both"/>
      </w:pPr>
      <w:r>
        <w:rPr>
          <w:b/>
          <w:bCs/>
        </w:rPr>
        <w:t xml:space="preserve">Interpretación:</w:t>
      </w:r>
      <w:r>
        <w:t xml:space="preserve"> un índice aditivo en logaritmos equivale a un factor multiplicativo e</w:t>
      </w:r>
      <w:r>
        <w:rPr>
          <w:vertAlign w:val="superscript"/>
        </w:rPr>
        <w:t xml:space="preserve">S</w:t>
      </w:r>
      <w:r>
        <w:t xml:space="preserve">. Por ejemplo, e</w:t>
      </w:r>
      <w:r>
        <w:rPr>
          <w:vertAlign w:val="superscript"/>
        </w:rPr>
        <w:t xml:space="preserve">0.7467</w:t>
      </w:r>
      <w:r>
        <w:t xml:space="preserve"> = 2.110: en noviembre se vende alrededor del doble que en un mes promedio. En mayo, e</w:t>
      </w:r>
      <w:r>
        <w:rPr>
          <w:vertAlign w:val="superscript"/>
        </w:rPr>
        <w:t xml:space="preserve">−0.7140</w:t>
      </w:r>
      <w:r>
        <w:t xml:space="preserve"> = 0.490, es decir, cerca de la mitad.</w:t>
      </w:r>
    </w:p>
    <w:p>
      <w:pPr>
        <w:pStyle w:val="Heading3"/>
      </w:pPr>
      <w:r>
        <w:t xml:space="preserve">Paso 4. Serie desestacionalizada y tendencia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ln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perscript"/>
        </w:rPr>
        <w:t xml:space="preserve">d</w:t>
      </w:r>
      <w:r>
        <w:rPr>
          <w:rFonts w:ascii="Cambria Math" w:cs="Cambria Math" w:eastAsia="Cambria Math" w:hAnsi="Cambria Math"/>
          <w:sz w:val="22"/>
          <w:szCs w:val="22"/>
        </w:rPr>
        <w:t xml:space="preserve"> = ln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−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</w:p>
    <w:p>
      <w:pPr>
        <w:spacing w:after="120" w:line="276"/>
        <w:jc w:val="both"/>
      </w:pPr>
      <w:r>
        <w:t xml:space="preserve">Ajustando por mínimos cuadrados una recta a la serie desestacionalizada: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4.6462 + 0.021504 t</w:t>
      </w:r>
    </w:p>
    <w:p>
      <w:pPr>
        <w:spacing w:after="120" w:line="276"/>
        <w:jc w:val="both"/>
      </w:pPr>
      <w:r>
        <w:t xml:space="preserve">R</w:t>
      </w:r>
      <w:r>
        <w:rPr>
          <w:vertAlign w:val="superscript"/>
        </w:rPr>
        <w:t xml:space="preserve">2</w:t>
      </w:r>
      <w:r>
        <w:t xml:space="preserve"> = 0.8870; t de la pendiente = 24.26 (p &lt; 0.001). Una recta en logaritmos equivale a un crecimiento </w:t>
      </w:r>
      <w:r>
        <w:rPr>
          <w:b/>
          <w:bCs/>
        </w:rPr>
        <w:t xml:space="preserve">exponencial</w:t>
      </w:r>
      <w:r>
        <w:t xml:space="preserve"> en la escala original: las ventas crecen a una tasa constante de e</w:t>
      </w:r>
      <w:r>
        <w:rPr>
          <w:vertAlign w:val="superscript"/>
        </w:rPr>
        <w:t xml:space="preserve">0.021504</w:t>
      </w:r>
      <w:r>
        <w:t xml:space="preserve"> − 1 = 2.17 % mensual, o sea 29.4 % anual.</w:t>
      </w:r>
    </w:p>
    <w:p>
      <w:pPr>
        <w:pStyle w:val="Heading3"/>
      </w:pPr>
      <w:r>
        <w:t xml:space="preserve">Paso 5. Componente irregular y precisión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I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ln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− 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−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</w:p>
    <w:p>
      <w:pPr>
        <w:spacing w:after="120" w:line="276"/>
        <w:jc w:val="both"/>
      </w:pPr>
      <w:r>
        <w:t xml:space="preserve">Ejemplo (</w:t>
      </w:r>
      <w:r>
        <w:rPr>
          <w:i/>
          <w:iCs/>
        </w:rPr>
        <w:t xml:space="preserve">t</w:t>
      </w:r>
      <w:r>
        <w:t xml:space="preserve"> = 1): T</w:t>
      </w:r>
      <w:r>
        <w:rPr>
          <w:vertAlign w:val="subscript"/>
        </w:rPr>
        <w:t xml:space="preserve">1</w:t>
      </w:r>
      <w:r>
        <w:t xml:space="preserve"> = 4.6677; ajuste = 4.6677 + 0.3346 = 5.0024; I</w:t>
      </w:r>
      <w:r>
        <w:rPr>
          <w:vertAlign w:val="subscript"/>
        </w:rPr>
        <w:t xml:space="preserve">1</w:t>
      </w:r>
      <w:r>
        <w:t xml:space="preserve"> = 5.0370 − 5.0024 = 0.0346. Los irregulares oscilan alrededor de 0 (tabla completa en el Anexo B). Precisión en escala logarítmica: MAPE = 2.35 %, MAD = 0.1221, MSD = 0.0291.</w:t>
      </w:r>
    </w:p>
    <w:p>
      <w:pPr>
        <w:pBdr>
          <w:left w:val="single" w:color="EDA100" w:sz="24" w:space="10"/>
        </w:pBdr>
        <w:shd w:fill="FFF6E0" w:color="auto" w:val="clear"/>
        <w:spacing w:after="160" w:before="80" w:line="276"/>
        <w:ind w:left="240" w:right="120"/>
        <w:jc w:val="both"/>
      </w:pPr>
      <w:r>
        <w:rPr>
          <w:b/>
          <w:bCs/>
          <w:color w:val="8A5A00"/>
        </w:rPr>
        <w:t xml:space="preserve">Nota del docente. </w:t>
      </w:r>
      <w:r>
        <w:t xml:space="preserve">el MAPE en escala logarítmica (2.35 %) </w:t>
      </w:r>
      <w:r>
        <w:rPr>
          <w:b/>
          <w:bCs/>
        </w:rPr>
        <w:t xml:space="preserve">no</w:t>
      </w:r>
      <w:r>
        <w:t xml:space="preserve"> se puede comparar con el de la pregunta 1, porque está calculado sobre valores de ln (≈ 4 a 7), no sobre las ventas. Para comparar los dos modelos hay que volver a la escala original (inciso e).</w:t>
      </w:r>
    </w:p>
    <w:p>
      <w:pPr>
        <w:pStyle w:val="Heading2"/>
      </w:pPr>
      <w:r>
        <w:t xml:space="preserve">Solución de 2 b) ¿Tendencia, estacionalidad o ambos?</w:t>
      </w:r>
    </w:p>
    <w:p>
      <w:pPr>
        <w:spacing w:after="120" w:line="276"/>
        <w:jc w:val="both"/>
      </w:pPr>
      <w:r>
        <w:rPr>
          <w:b/>
          <w:bCs/>
        </w:rPr>
        <w:t xml:space="preserve">Respuesta: ambos</w:t>
      </w:r>
      <w:r>
        <w:t xml:space="preserve">, por las mismas razones que en la pregunta 1. La tendencia en logaritmos es muy significativa (t = 24.3). Los índices aditivos van de −0.714 a 0.747, una diferencia de 1.461 en ln, lo que equivale a un factor de 4.3 entre el mejor y el peor mes. Usar un solo componente empeora mucho el ajuste: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2.3. Precisión en escala ln según los componentes usados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0"/>
        <w:gridCol w:w="1500"/>
        <w:gridCol w:w="1500"/>
        <w:gridCol w:w="1700"/>
      </w:tblGrid>
      <w:tr>
        <w:trPr>
          <w:cantSplit/>
          <w:tblHeader/>
        </w:trPr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Modelo para ln Y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MSD</w:t>
            </w:r>
          </w:p>
        </w:tc>
      </w:tr>
      <w:tr>
        <w:trPr>
          <w:cantSplit/>
        </w:trPr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tendencia: T</w:t>
            </w:r>
            <w:r>
              <w:rPr>
                <w:b w:val="false"/>
                <w:bCs w:val="false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8.78 %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0.2775</w:t>
            </w:r>
          </w:p>
        </w:tc>
      </w:tr>
      <w:tr>
        <w:trPr>
          <w:cantSplit/>
        </w:trPr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estacionalidad: media + S</w:t>
            </w:r>
            <w:r>
              <w:rPr>
                <w:b w:val="false"/>
                <w:bCs w:val="false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8.52 %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0.2579</w:t>
            </w:r>
          </w:p>
        </w:tc>
      </w:tr>
      <w:tr>
        <w:trPr>
          <w:cantSplit/>
        </w:trPr>
        <w:tc>
          <w:tcPr>
            <w:tcW w:type="dxa" w:w="4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Tendencia y estacionalidad: T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t</w:t>
            </w:r>
            <w:r>
              <w:rPr>
                <w:b/>
                <w:bCs/>
                <w:sz w:val="18"/>
                <w:szCs w:val="18"/>
              </w:rPr>
              <w:t xml:space="preserve"> + S</w:t>
            </w:r>
            <w:r>
              <w:rPr>
                <w:b/>
                <w:bCs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2.35 %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0.1221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0.0291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Solución de 2 c) Pronósticos de ln(ventas) para junio–diciembre de 2006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ln 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T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+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4.6462 + 0.021504 t + S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mes</w:t>
      </w:r>
    </w:p>
    <w:p>
      <w:pPr>
        <w:spacing w:after="120" w:line="276"/>
        <w:jc w:val="both"/>
      </w:pPr>
      <w:r>
        <w:t xml:space="preserve">Ejemplo (</w:t>
      </w:r>
      <w:r>
        <w:rPr>
          <w:i/>
          <w:iCs/>
        </w:rPr>
        <w:t xml:space="preserve">t</w:t>
      </w:r>
      <w:r>
        <w:t xml:space="preserve"> = 78): T</w:t>
      </w:r>
      <w:r>
        <w:rPr>
          <w:vertAlign w:val="subscript"/>
        </w:rPr>
        <w:t xml:space="preserve">78</w:t>
      </w:r>
      <w:r>
        <w:t xml:space="preserve"> = 4.6462 + 0.021504(78) = 6.3235; ln Ŷ</w:t>
      </w:r>
      <w:r>
        <w:rPr>
          <w:vertAlign w:val="subscript"/>
        </w:rPr>
        <w:t xml:space="preserve">78</w:t>
      </w:r>
      <w:r>
        <w:t xml:space="preserve"> = 6.3235 + (−0.5706) = </w:t>
      </w:r>
      <w:r>
        <w:rPr>
          <w:b/>
          <w:bCs/>
        </w:rPr>
        <w:t xml:space="preserve">5.7530</w:t>
      </w:r>
      <w:r>
        <w:t xml:space="preserve">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2.4. Pronósticos de ln(ventas)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0"/>
        <w:gridCol w:w="10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Tendencia T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Índice 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Pronóstico ln Ŷ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Junio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6.3235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−0.5706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5.7530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Julio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6.3451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−0.2730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6.0721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Agosto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6.3666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−0.0012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6.3654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Septiembre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6.3881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0.4700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6.8580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Octubre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6.4096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0.7229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7.1325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Noviembre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6.4311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0.7467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7.1778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Diciembre 2006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6.4526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0.3422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6.7948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Solución de 2 d) Antilogaritmos: pronósticos de ventas para 2006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= exp( ln 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)</w:t>
      </w:r>
    </w:p>
    <w:p>
      <w:pPr>
        <w:spacing w:after="120" w:line="276"/>
        <w:jc w:val="both"/>
      </w:pPr>
      <w:r>
        <w:t xml:space="preserve">Ejemplo: Ŷ</w:t>
      </w:r>
      <w:r>
        <w:rPr>
          <w:vertAlign w:val="subscript"/>
        </w:rPr>
        <w:t xml:space="preserve">78</w:t>
      </w:r>
      <w:r>
        <w:t xml:space="preserve"> = e</w:t>
      </w:r>
      <w:r>
        <w:rPr>
          <w:vertAlign w:val="superscript"/>
        </w:rPr>
        <w:t xml:space="preserve">5.7530</w:t>
      </w:r>
      <w:r>
        <w:t xml:space="preserve"> = </w:t>
      </w:r>
      <w:r>
        <w:rPr>
          <w:b/>
          <w:bCs/>
        </w:rPr>
        <w:t xml:space="preserve">315.1</w:t>
      </w:r>
      <w:r>
        <w:t xml:space="preserve">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2.5. Pronósticos de ventas (antilogaritmo)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70"/>
        <w:gridCol w:w="1500"/>
        <w:gridCol w:w="2500"/>
        <w:gridCol w:w="2500"/>
      </w:tblGrid>
      <w:tr>
        <w:trPr>
          <w:cantSplit/>
          <w:tblHeader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ln Ŷ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Ŷ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= e</w:t>
            </w:r>
            <w:r>
              <w:rPr>
                <w:b/>
                <w:bCs/>
                <w:color w:val="1F3864"/>
                <w:sz w:val="18"/>
                <w:szCs w:val="18"/>
                <w:vertAlign w:val="superscript"/>
              </w:rPr>
              <w:t xml:space="preserve">ln Ŷ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Junio 2006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5.7530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315.1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Julio 2006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6.0721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433.6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Agosto 2006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6.3654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581.4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Septiembre 2006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6.8580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951.5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Octubre 2006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7.1325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1252.0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Noviembre 2006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7.1778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1310.0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Diciembre 2006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6.7948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893.2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jun–dic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5736.7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Ventas estimadas para 2006 con este modelo: 1780 (ene–may reales) + 5736.7 = </w:t>
      </w:r>
      <w:r>
        <w:rPr>
          <w:b/>
          <w:bCs/>
        </w:rPr>
        <w:t xml:space="preserve">7517</w:t>
      </w:r>
      <w:r>
        <w:t xml:space="preserve">, es decir, 28.1 % más que en 2005.</w:t>
      </w:r>
    </w:p>
    <w:p>
      <w:pPr>
        <w:pBdr>
          <w:left w:val="single" w:color="EDA100" w:sz="24" w:space="10"/>
        </w:pBdr>
        <w:shd w:fill="FFF6E0" w:color="auto" w:val="clear"/>
        <w:spacing w:after="160" w:before="80" w:line="276"/>
        <w:ind w:left="240" w:right="120"/>
        <w:jc w:val="both"/>
      </w:pPr>
      <w:r>
        <w:rPr>
          <w:b/>
          <w:bCs/>
          <w:color w:val="8A5A00"/>
        </w:rPr>
        <w:t xml:space="preserve">Nota del docente. </w:t>
      </w:r>
      <w:r>
        <w:t xml:space="preserve">el antilogaritmo de un pronóstico de ln Y estima la </w:t>
      </w:r>
      <w:r>
        <w:rPr>
          <w:b/>
          <w:bCs/>
        </w:rPr>
        <w:t xml:space="preserve">mediana</w:t>
      </w:r>
      <w:r>
        <w:t xml:space="preserve"> de las ventas, no su media. Si se quiere la media, se multiplica por el factor de corrección e</w:t>
      </w:r>
      <w:r>
        <w:rPr>
          <w:vertAlign w:val="superscript"/>
        </w:rPr>
        <w:t xml:space="preserve">σ²/2</w:t>
      </w:r>
      <w:r>
        <w:t xml:space="preserve">, con σ² = 0.02948 (varianza de los irregulares): e</w:t>
      </w:r>
      <w:r>
        <w:rPr>
          <w:vertAlign w:val="superscript"/>
        </w:rPr>
        <w:t xml:space="preserve">0.01474</w:t>
      </w:r>
      <w:r>
        <w:t xml:space="preserve"> = 1.0149. Esto eleva los pronósticos en ≈ 1.5 %, una diferencia pequeña que no cambia las conclusiones.</w:t>
      </w:r>
    </w:p>
    <w:p>
      <w:pPr>
        <w:pStyle w:val="Heading2"/>
      </w:pPr>
      <w:r>
        <w:t xml:space="preserve">Solución de 2 e) Comparación de ambos conjuntos de pronósticos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2.6. Pronósticos 2006: pregunta 1 (multiplicativo) frente a pregunta 2 (antilog de ln)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0"/>
        <w:gridCol w:w="1300"/>
        <w:gridCol w:w="1450"/>
        <w:gridCol w:w="1450"/>
        <w:gridCol w:w="1450"/>
        <w:gridCol w:w="1450"/>
      </w:tblGrid>
      <w:tr>
        <w:trPr>
          <w:cantSplit/>
          <w:tblHeader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Real 2005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P1: T × 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P2: e</w:t>
            </w:r>
            <w:r>
              <w:rPr>
                <w:b/>
                <w:bCs/>
                <w:color w:val="1F3864"/>
                <w:sz w:val="18"/>
                <w:szCs w:val="18"/>
                <w:vertAlign w:val="superscript"/>
              </w:rPr>
              <w:t xml:space="preserve">T+S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P2 − P1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Diferencia %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Junio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257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253.2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315.1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62.0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24.5 %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Julio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324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357.7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433.6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75.8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21.2 %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Agosto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478.0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581.4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103.3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21.6 %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Septiembre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677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763.8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951.5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187.7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24.6 %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Octubre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858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1012.4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1252.0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239.5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23.7 %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Noviembre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895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1066.2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1310.0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243.8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22.9 %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Diciembre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664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743.9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893.2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149.3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20.1 %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jun–dic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4079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4675.3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5736.7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1061.4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22.7 %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2006 estimado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5868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6455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7517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1061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Crecimiento vs. 2005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10.0 %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28.1 %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i/>
          <w:iCs/>
          <w:color w:val="52514E"/>
          <w:sz w:val="18"/>
          <w:szCs w:val="18"/>
        </w:rPr>
        <w:t xml:space="preserve">Figura 3. Los pronósticos del modelo logarítmico (P2) están entre 20 % y 25 % por encima de los del modelo multiplicativo (P1) en todos los meses.</w:t>
      </w:r>
    </w:p>
    <w:p>
      <w:pPr>
        <w:spacing w:after="120" w:line="276"/>
        <w:jc w:val="both"/>
      </w:pPr>
      <w:r>
        <w:t xml:space="preserve">Para decidir con datos, se comparan los dos modelos en la </w:t>
      </w:r>
      <w:r>
        <w:rPr>
          <w:b/>
          <w:bCs/>
        </w:rPr>
        <w:t xml:space="preserve">misma escala (ventas)</w:t>
      </w:r>
      <w:r>
        <w:t xml:space="preserve">, dentro de la muestra y fuera de ella. Para la evaluación fuera de muestra, cada modelo se reestimó solo con 2000–2005 y se pronosticaron enero–mayo de 2006, cuyos valores reales se conocen: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2.7. Precisión comparada en escala original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70"/>
        <w:gridCol w:w="2000"/>
        <w:gridCol w:w="2000"/>
        <w:gridCol w:w="1500"/>
      </w:tblGrid>
      <w:tr>
        <w:trPr>
          <w:cantSplit/>
          <w:tblHeader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Criterio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P1: multiplicativo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P2: ln aditivo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Mejor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Dentro de muestra: MAPE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14.21 %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12.46 %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Dentro de muestra: MAD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32.63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32.63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Empate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Dentro de muestra: MSD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1914.0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2372.4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Fuera de muestra (ene–may 2006): MAPE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15.78 %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23.00 %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Fuera de muestra (ene–may 2006): MAD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50.33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78.57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Crecimiento implícito de la tendencia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lineal: +72 unid./año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exponencial: +29.4 %/año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/>
          <w:bCs/>
        </w:rPr>
        <w:t xml:space="preserve">Respuesta: prefiero los pronósticos de la pregunta 1 (descomposición multiplicativa).</w:t>
      </w:r>
      <w:r>
        <w:t xml:space="preserve"> Las razones son: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Dentro de la muestra no hay un ganador claro.</w:t>
      </w:r>
      <w:r>
        <w:t xml:space="preserve"> P2 tiene menor MAPE, pero P1 tiene menor MSD y el MAD es prácticamente igual. Ajustar bien el pasado no basta para elegir.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Fuera de la muestra gana P1 con claridad.</w:t>
      </w:r>
      <w:r>
        <w:t xml:space="preserve"> Al pronosticar enero–mayo de 2006 con datos hasta 2005, P1 se equivoca en promedio 15.8 %, frente a 23.0 % de P2. P2 sobreestima los cinco meses.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El tipo de crecimiento observado es lineal, no exponencial.</w:t>
      </w:r>
      <w:r>
        <w:t xml:space="preserve"> Los aumentos anuales recientes son casi constantes en unidades (2003: +1196, 2004: +1025, 2005: +999), mientras que el crecimiento porcentual cae (45 %, 27 %, 21 %). Eso corresponde a una tendencia lineal (P1). P2, en cambio, supone que las ventas seguirán creciendo 29 % cada año.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Realismo:</w:t>
      </w:r>
      <w:r>
        <w:t xml:space="preserve"> enero–mayo de 2006 está al mismo nivel que en 2005 (1780 frente a 1789). Con eso, un crecimiento de 28 % en 2006 (P2) es poco creíble, mientras que el 10 % de P1 es más prudente. Además, la corrección de sesgo del antilogaritmo elevaría aún más los pronósticos de P2.</w:t>
      </w:r>
    </w:p>
    <w:p>
      <w:pPr>
        <w:spacing w:after="120" w:line="276"/>
        <w:jc w:val="both"/>
      </w:pPr>
      <w:r>
        <w:t xml:space="preserve">El modelo logarítmico no está mal planteado: estabiliza la varianza y sería preferible si el crecimiento fuera de verdad porcentual y sostenido. Con estos datos, sin embargo, la tendencia lineal del modelo multiplicativo describe mejor la evolución reciente y pronostica mejor.</w:t>
      </w:r>
    </w:p>
    <w:p>
      <w:r>
        <w:br w:type="page"/>
      </w:r>
    </w:p>
    <w:p>
      <w:pPr>
        <w:pStyle w:val="Heading1"/>
      </w:pPr>
      <w:r>
        <w:t xml:space="preserve">Pregunta 3. Método de suavización para las ventas mensuales</w:t>
      </w:r>
    </w:p>
    <w:p>
      <w:pPr>
        <w:pBdr>
          <w:left w:val="single" w:color="2A78D6" w:sz="24" w:space="10"/>
        </w:pBdr>
        <w:shd w:fill="EEF4FB" w:color="auto" w:val="clear"/>
        <w:spacing w:after="40" w:before="80"/>
        <w:ind w:left="240" w:right="120"/>
        <w:jc w:val="both"/>
      </w:pPr>
      <w:r>
        <w:rPr>
          <w:b/>
          <w:bCs/>
          <w:color w:val="2A78D6"/>
          <w:sz w:val="18"/>
          <w:szCs w:val="18"/>
        </w:rPr>
        <w:t xml:space="preserve">ENUNCIADO</w:t>
      </w:r>
    </w:p>
    <w:p>
      <w:pPr>
        <w:pBdr>
          <w:left w:val="single" w:color="2A78D6" w:sz="24" w:space="10"/>
        </w:pBdr>
        <w:shd w:fill="EEF4FB" w:color="auto" w:val="clear"/>
        <w:spacing w:after="80"/>
        <w:ind w:left="240" w:right="120"/>
        <w:jc w:val="both"/>
      </w:pPr>
      <w:r>
        <w:t xml:space="preserve">3.- Usando el método de suavización más apropiado, analice la siguiente serie sobre ventas (unidades) mensuales y halle el pronóstico para el siguiente mes.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3.1. Ventas mensuales (unidades)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rPr>
          <w:cantSplit/>
          <w:tblHeader/>
        </w:trPr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Ventas Y</w:t>
            </w:r>
            <w:r>
              <w:rPr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1250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1150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970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1100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1170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1080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1120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1230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1210</w:t>
            </w:r>
          </w:p>
        </w:tc>
      </w:tr>
    </w:tbl>
    <w:p>
      <w:pPr>
        <w:spacing w:after="60"/>
      </w:pP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rPr>
          <w:cantSplit/>
          <w:tblHeader/>
        </w:trPr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13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14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15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17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Ventas Y</w:t>
            </w:r>
            <w:r>
              <w:rPr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1050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1030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990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1150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1200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1180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1250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1230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1190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Solución</w:t>
      </w:r>
    </w:p>
    <w:p>
      <w:pPr>
        <w:pStyle w:val="Heading3"/>
      </w:pPr>
      <w:r>
        <w:t xml:space="preserve">Paso 1. Análisis del patrón de la serie (¿qué método es el apropiado?)</w:t>
      </w:r>
    </w:p>
    <w:p>
      <w:pPr>
        <w:spacing w:after="120" w:line="276"/>
        <w:jc w:val="both"/>
      </w:pPr>
      <w:r>
        <w:t xml:space="preserve">El método de suavización se elige según el patrón de los datos: promedios móviles o suavización exponencial simple para una serie </w:t>
      </w:r>
      <w:r>
        <w:rPr>
          <w:b/>
          <w:bCs/>
        </w:rPr>
        <w:t xml:space="preserve">horizontal</w:t>
      </w:r>
      <w:r>
        <w:t xml:space="preserve"> (sin tendencia ni estacionalidad), Holt para una serie con </w:t>
      </w:r>
      <w:r>
        <w:rPr>
          <w:b/>
          <w:bCs/>
        </w:rPr>
        <w:t xml:space="preserve">tendencia</w:t>
      </w:r>
      <w:r>
        <w:t xml:space="preserve"> y Winters para una serie con </w:t>
      </w:r>
      <w:r>
        <w:rPr>
          <w:b/>
          <w:bCs/>
        </w:rPr>
        <w:t xml:space="preserve">tendencia y estacionalidad</w:t>
      </w:r>
      <w:r>
        <w:t xml:space="preserve">. Por eso, primero se diagnostica la serie.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i/>
          <w:iCs/>
          <w:color w:val="52514E"/>
          <w:sz w:val="18"/>
          <w:szCs w:val="18"/>
        </w:rPr>
        <w:t xml:space="preserve">Figura 4. Las ventas fluctúan alrededor de un nivel de ≈ 1 140 unidades, sin tendencia definida ni patrón repetitivo.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Nivel y variabilidad:</w:t>
      </w:r>
      <w:r>
        <w:t xml:space="preserve"> media = 1141.67, desviación estándar = 87.87, coeficiente de variación = 7.7 %.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Tendencia:</w:t>
      </w:r>
      <w:r>
        <w:t xml:space="preserve"> la recta Ŷ</w:t>
      </w:r>
      <w:r>
        <w:rPr>
          <w:vertAlign w:val="subscript"/>
        </w:rPr>
        <w:t xml:space="preserve">t</w:t>
      </w:r>
      <w:r>
        <w:t xml:space="preserve"> = 1101.96 + 4.180 t tiene R</w:t>
      </w:r>
      <w:r>
        <w:rPr>
          <w:vertAlign w:val="superscript"/>
        </w:rPr>
        <w:t xml:space="preserve">2</w:t>
      </w:r>
      <w:r>
        <w:t xml:space="preserve"> = 6.4 %. La prueba H</w:t>
      </w:r>
      <w:r>
        <w:rPr>
          <w:vertAlign w:val="subscript"/>
        </w:rPr>
        <w:t xml:space="preserve">0</w:t>
      </w:r>
      <w:r>
        <w:t xml:space="preserve">: β</w:t>
      </w:r>
      <w:r>
        <w:rPr>
          <w:vertAlign w:val="subscript"/>
        </w:rPr>
        <w:t xml:space="preserve">1</w:t>
      </w:r>
      <w:r>
        <w:t xml:space="preserve"> = 0 da t = 4.180 / 3.980 = 1.05, menor que t</w:t>
      </w:r>
      <w:r>
        <w:rPr>
          <w:vertAlign w:val="subscript"/>
        </w:rPr>
        <w:t xml:space="preserve">0.025; 16</w:t>
      </w:r>
      <w:r>
        <w:t xml:space="preserve"> = 2.120 (p = 0.309). </w:t>
      </w:r>
      <w:r>
        <w:rPr>
          <w:b/>
          <w:bCs/>
        </w:rPr>
        <w:t xml:space="preserve">No hay tendencia significativa.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Estacionalidad:</w:t>
      </w:r>
      <w:r>
        <w:t xml:space="preserve"> con 18 meses no hay ni dos ciclos anuales completos, y el gráfico no muestra un patrón que se repita. No se puede ni se necesita modelar estacionalidad.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Autocorrelación:</w:t>
      </w:r>
      <w:r>
        <w:t xml:space="preserve"> ninguna autocorrelación supera el límite ±2/√n = ±0.471 (Tabla 3.2). El estadístico de Ljung–Box es Q</w:t>
      </w:r>
      <w:r>
        <w:rPr>
          <w:vertAlign w:val="subscript"/>
        </w:rPr>
        <w:t xml:space="preserve">6</w:t>
      </w:r>
      <w:r>
        <w:t xml:space="preserve"> = 8.69, menor que χ</w:t>
      </w:r>
      <w:r>
        <w:rPr>
          <w:vertAlign w:val="superscript"/>
        </w:rPr>
        <w:t xml:space="preserve">2</w:t>
      </w:r>
      <w:r>
        <w:rPr>
          <w:vertAlign w:val="subscript"/>
        </w:rPr>
        <w:t xml:space="preserve">0.05; 6</w:t>
      </w:r>
      <w:r>
        <w:t xml:space="preserve"> = 12.59 (p = 0.192). No hay autocorrelación significativa.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3.2. Autocorrelaciones muestrales r</w:t>
      </w:r>
      <w:r>
        <w:rPr>
          <w:b/>
          <w:bCs/>
          <w:color w:val="1F3864"/>
          <w:sz w:val="20"/>
          <w:szCs w:val="20"/>
          <w:vertAlign w:val="subscript"/>
        </w:rPr>
        <w:t xml:space="preserve">k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0"/>
        <w:gridCol w:w="1050"/>
        <w:gridCol w:w="105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Rezago k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  <w:vertAlign w:val="subscript"/>
              </w:rPr>
              <w:t xml:space="preserve">k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0.3772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−0.1914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−0.1366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−0.1732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−0.3138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−0.1742</w:t>
            </w:r>
          </w:p>
        </w:tc>
      </w:tr>
      <w:tr>
        <w:trPr>
          <w:cantSplit/>
        </w:trPr>
        <w:tc>
          <w:tcPr>
            <w:tcW w:type="dxa" w:w="2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¿|r</w:t>
            </w:r>
            <w:r>
              <w:rPr>
                <w:sz w:val="18"/>
                <w:szCs w:val="18"/>
                <w:vertAlign w:val="subscript"/>
              </w:rPr>
              <w:t xml:space="preserve">k</w:t>
            </w:r>
            <w:r>
              <w:rPr>
                <w:sz w:val="18"/>
                <w:szCs w:val="18"/>
              </w:rPr>
              <w:t xml:space="preserve">| &gt; 0.471?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/>
          <w:bCs/>
        </w:rPr>
        <w:t xml:space="preserve">Conclusión del diagnóstico:</w:t>
      </w:r>
      <w:r>
        <w:t xml:space="preserve"> la serie es horizontal (estacionaria en media). Los métodos apropiados son el </w:t>
      </w:r>
      <w:r>
        <w:rPr>
          <w:b/>
          <w:bCs/>
        </w:rPr>
        <w:t xml:space="preserve">promedio móvil simple</w:t>
      </w:r>
      <w:r>
        <w:t xml:space="preserve"> y la </w:t>
      </w:r>
      <w:r>
        <w:rPr>
          <w:b/>
          <w:bCs/>
        </w:rPr>
        <w:t xml:space="preserve">suavización exponencial simple (SES)</w:t>
      </w:r>
      <w:r>
        <w:t xml:space="preserve">. Holt y Winters no corresponden, porque no hay tendencia ni estacionalidad que modelar.</w:t>
      </w:r>
    </w:p>
    <w:p>
      <w:pPr>
        <w:pStyle w:val="Heading3"/>
      </w:pPr>
      <w:r>
        <w:t xml:space="preserve">Paso 2. Comparación de métodos candidatos</w:t>
      </w:r>
    </w:p>
    <w:p>
      <w:pPr>
        <w:spacing w:after="120" w:line="276"/>
        <w:jc w:val="both"/>
      </w:pPr>
      <w:r>
        <w:t xml:space="preserve">Fórmulas: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PM(k):  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t+1</w:t>
      </w:r>
      <w:r>
        <w:rPr>
          <w:rFonts w:ascii="Cambria Math" w:cs="Cambria Math" w:eastAsia="Cambria Math" w:hAnsi="Cambria Math"/>
          <w:sz w:val="22"/>
          <w:szCs w:val="22"/>
        </w:rPr>
        <w:t xml:space="preserve"> = (Y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+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t−1</w:t>
      </w:r>
      <w:r>
        <w:rPr>
          <w:rFonts w:ascii="Cambria Math" w:cs="Cambria Math" w:eastAsia="Cambria Math" w:hAnsi="Cambria Math"/>
          <w:sz w:val="22"/>
          <w:szCs w:val="22"/>
        </w:rPr>
        <w:t xml:space="preserve"> + … +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t−k+1</w:t>
      </w:r>
      <w:r>
        <w:rPr>
          <w:rFonts w:ascii="Cambria Math" w:cs="Cambria Math" w:eastAsia="Cambria Math" w:hAnsi="Cambria Math"/>
          <w:sz w:val="22"/>
          <w:szCs w:val="22"/>
        </w:rPr>
        <w:t xml:space="preserve">) / k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SES:  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t+1</w:t>
      </w:r>
      <w:r>
        <w:rPr>
          <w:rFonts w:ascii="Cambria Math" w:cs="Cambria Math" w:eastAsia="Cambria Math" w:hAnsi="Cambria Math"/>
          <w:sz w:val="22"/>
          <w:szCs w:val="22"/>
        </w:rPr>
        <w:t xml:space="preserve"> = α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 + (1 − α) 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2"/>
          <w:szCs w:val="22"/>
        </w:rPr>
        <w:t xml:space="preserve">,   0 &lt; α ≤ 1,   con 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2</w:t>
      </w:r>
      <w:r>
        <w:rPr>
          <w:rFonts w:ascii="Cambria Math" w:cs="Cambria Math" w:eastAsia="Cambria Math" w:hAnsi="Cambria Math"/>
          <w:sz w:val="22"/>
          <w:szCs w:val="22"/>
        </w:rPr>
        <w:t xml:space="preserve"> =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1</w:t>
      </w:r>
    </w:p>
    <w:p>
      <w:pPr>
        <w:spacing w:after="120" w:line="276"/>
        <w:jc w:val="both"/>
      </w:pPr>
      <w:r>
        <w:t xml:space="preserve">Para que la comparación sea justa, todos los métodos se evalúan con los </w:t>
      </w:r>
      <w:r>
        <w:rPr>
          <w:b/>
          <w:bCs/>
        </w:rPr>
        <w:t xml:space="preserve">mismos</w:t>
      </w:r>
      <w:r>
        <w:t xml:space="preserve"> errores de pronóstico a un paso, e</w:t>
      </w:r>
      <w:r>
        <w:rPr>
          <w:vertAlign w:val="subscript"/>
        </w:rPr>
        <w:t xml:space="preserve">t</w:t>
      </w:r>
      <w:r>
        <w:t xml:space="preserve"> = Y</w:t>
      </w:r>
      <w:r>
        <w:rPr>
          <w:vertAlign w:val="subscript"/>
        </w:rPr>
        <w:t xml:space="preserve">t</w:t>
      </w:r>
      <w:r>
        <w:t xml:space="preserve"> − Ŷ</w:t>
      </w:r>
      <w:r>
        <w:rPr>
          <w:vertAlign w:val="subscript"/>
        </w:rPr>
        <w:t xml:space="preserve">t</w:t>
      </w:r>
      <w:r>
        <w:t xml:space="preserve">, de </w:t>
      </w:r>
      <w:r>
        <w:rPr>
          <w:i/>
          <w:iCs/>
        </w:rPr>
        <w:t xml:space="preserve">t</w:t>
      </w:r>
      <w:r>
        <w:t xml:space="preserve"> = 6 a </w:t>
      </w:r>
      <w:r>
        <w:rPr>
          <w:i/>
          <w:iCs/>
        </w:rPr>
        <w:t xml:space="preserve">t</w:t>
      </w:r>
      <w:r>
        <w:t xml:space="preserve"> = 18 (13 errores; PM(5) recién puede pronosticar en </w:t>
      </w:r>
      <w:r>
        <w:rPr>
          <w:i/>
          <w:iCs/>
        </w:rPr>
        <w:t xml:space="preserve">t</w:t>
      </w:r>
      <w:r>
        <w:t xml:space="preserve"> = 6). La constante α se buscó en una grilla de 0.01 a 1.00, minimizando el ECM.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3.3. Precisión de los métodos (errores de t = 6 a 18)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70"/>
        <w:gridCol w:w="1100"/>
        <w:gridCol w:w="1300"/>
        <w:gridCol w:w="1250"/>
        <w:gridCol w:w="1250"/>
      </w:tblGrid>
      <w:tr>
        <w:trPr>
          <w:cantSplit/>
          <w:tblHeader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Método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ECM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MAPE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Ŷ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Promedio móvil simple de 3 meses, PM(3)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77.95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8567.5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1223.3</w:t>
            </w:r>
          </w:p>
        </w:tc>
      </w:tr>
      <w:tr>
        <w:trPr>
          <w:cantSplit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Promedio móvil simple de 4 meses, PM(4)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84.23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8938.5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7.45 %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1212.5</w:t>
            </w:r>
          </w:p>
        </w:tc>
      </w:tr>
      <w:tr>
        <w:trPr>
          <w:cantSplit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Promedio móvil simple de 5 meses, PM(5)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86.92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9333.2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7.64 %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1210.0</w:t>
            </w:r>
          </w:p>
        </w:tc>
      </w:tr>
      <w:tr>
        <w:trPr>
          <w:cantSplit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Suavización exponencial simple, α = 0.1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76.46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8373.1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6.96 %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1170.8</w:t>
            </w:r>
          </w:p>
        </w:tc>
      </w:tr>
      <w:tr>
        <w:trPr>
          <w:cantSplit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Suavización exponencial simple, α = 0.3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75.04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7133.6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6.65 %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1190.7</w:t>
            </w:r>
          </w:p>
        </w:tc>
      </w:tr>
      <w:tr>
        <w:trPr>
          <w:cantSplit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Suavización exponencial simple, α = 0.5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72.08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6846.6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6.38 %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1204.1</w:t>
            </w:r>
          </w:p>
        </w:tc>
      </w:tr>
      <w:tr>
        <w:trPr>
          <w:cantSplit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Suavización exponencial simple, α = 0.7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65.65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6614.8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5.82 %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1201.8</w:t>
            </w:r>
          </w:p>
        </w:tc>
      </w:tr>
      <w:tr>
        <w:trPr>
          <w:cantSplit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Suavización exponencial simple, α* = 0.89 (óptimo)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64.07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6537.0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5.67 %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1194.6</w:t>
            </w:r>
          </w:p>
        </w:tc>
      </w:tr>
      <w:tr>
        <w:trPr>
          <w:cantSplit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Método ingenuo (α = 1): Ŷ</w:t>
            </w:r>
            <w:r>
              <w:rPr>
                <w:b w:val="false"/>
                <w:bCs w:val="false"/>
                <w:sz w:val="18"/>
                <w:szCs w:val="18"/>
                <w:vertAlign w:val="subscript"/>
              </w:rPr>
              <w:t xml:space="preserve">t+1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Y</w:t>
            </w:r>
            <w:r>
              <w:rPr>
                <w:b w:val="false"/>
                <w:bCs w:val="false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64.62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6553.8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5.70 %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1190.0</w:t>
            </w:r>
          </w:p>
        </w:tc>
      </w:tr>
    </w:tbl>
    <w:p>
      <w:pPr>
        <w:spacing w:after="6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left"/>
      </w:pPr>
      <w:r>
        <w:rPr>
          <w:i/>
          <w:iCs/>
          <w:color w:val="52514E"/>
          <w:sz w:val="18"/>
          <w:szCs w:val="18"/>
        </w:rPr>
        <w:t xml:space="preserve">Figura 5. ECM de la suavización exponencial simple en función de α. El mínimo está en α* = 0.89; la curva es casi plana entre 0.7 y 1.0.</w:t>
      </w:r>
    </w:p>
    <w:p>
      <w:pPr>
        <w:spacing w:after="120" w:line="276"/>
        <w:jc w:val="both"/>
      </w:pPr>
      <w:r>
        <w:rPr>
          <w:b/>
          <w:bCs/>
        </w:rPr>
        <w:t xml:space="preserve">Resultado:</w:t>
      </w:r>
      <w:r>
        <w:t xml:space="preserve"> la suavización exponencial simple con </w:t>
      </w:r>
      <w:r>
        <w:rPr>
          <w:b/>
          <w:bCs/>
        </w:rPr>
        <w:t xml:space="preserve">α óptimo = 0.89</w:t>
      </w:r>
      <w:r>
        <w:t xml:space="preserve"> tiene el menor ECM (6537.0), el menor MAD (64.07) y el menor MAPE (5.67 %). Supera a todos los promedios móviles y a las SES con α bajos.</w:t>
      </w:r>
    </w:p>
    <w:p>
      <w:pPr>
        <w:pBdr>
          <w:left w:val="single" w:color="EDA100" w:sz="24" w:space="10"/>
        </w:pBdr>
        <w:shd w:fill="FFF6E0" w:color="auto" w:val="clear"/>
        <w:spacing w:after="160" w:before="80" w:line="276"/>
        <w:ind w:left="240" w:right="120"/>
        <w:jc w:val="both"/>
      </w:pPr>
      <w:r>
        <w:rPr>
          <w:b/>
          <w:bCs/>
          <w:color w:val="8A5A00"/>
        </w:rPr>
        <w:t xml:space="preserve">Nota del docente. </w:t>
      </w:r>
      <w:r>
        <w:t xml:space="preserve">un α tan alto indica que conviene dar mucho peso al dato más reciente. La razón es que el nivel de la serie se desplazó: en los meses 1–12 el promedio fue 1112.5, y en los meses 13–18 subió a 1200.0. Un α pequeño (o un promedio móvil largo) reacciona tarde a ese cambio y acumula errores. Como verificación, se probó también el método de Holt (mejor combinación α = 0.95, β = 0.20): su ECM es 8058.7, mayor que el de la SES. Esto confirma que agregar una tendencia no mejora el pronóstico.</w:t>
      </w:r>
    </w:p>
    <w:p>
      <w:pPr>
        <w:pStyle w:val="Heading3"/>
      </w:pPr>
      <w:r>
        <w:t xml:space="preserve">Paso 3. Cálculo detallado con SES, α = 0.89</w:t>
      </w:r>
    </w:p>
    <w:p>
      <w:pPr>
        <w:spacing w:after="120" w:line="276"/>
        <w:jc w:val="both"/>
      </w:pPr>
      <w:r>
        <w:t xml:space="preserve">Ejemplo: Ŷ</w:t>
      </w:r>
      <w:r>
        <w:rPr>
          <w:vertAlign w:val="subscript"/>
        </w:rPr>
        <w:t xml:space="preserve">3</w:t>
      </w:r>
      <w:r>
        <w:t xml:space="preserve"> = 0.89(1150) + 0.11(1250) = 1161.00; Ŷ</w:t>
      </w:r>
      <w:r>
        <w:rPr>
          <w:vertAlign w:val="subscript"/>
        </w:rPr>
        <w:t xml:space="preserve">4</w:t>
      </w:r>
      <w:r>
        <w:t xml:space="preserve"> = 0.89(970) + 0.11(1161.00) = 991.01; y así sucesivamente.</w:t>
      </w:r>
    </w:p>
    <w:p>
      <w:pPr>
        <w:keepNext/>
        <w:spacing w:after="80" w:before="160"/>
      </w:pPr>
      <w:r>
        <w:rPr>
          <w:b/>
          <w:bCs/>
          <w:color w:val="1F3864"/>
          <w:sz w:val="20"/>
          <w:szCs w:val="20"/>
        </w:rPr>
        <w:t xml:space="preserve">Tabla 3.4. Suavización exponencial simple con α = 0.89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50"/>
        <w:gridCol w:w="1400"/>
        <w:gridCol w:w="1500"/>
        <w:gridCol w:w="1250"/>
        <w:gridCol w:w="1450"/>
        <w:gridCol w:w="142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Y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Ŷ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= Y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− Ŷ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|e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|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  <w:r>
              <w:rPr>
                <w:b/>
                <w:bCs/>
                <w:color w:val="1F3864"/>
                <w:sz w:val="18"/>
                <w:szCs w:val="18"/>
                <w:vertAlign w:val="superscript"/>
              </w:rPr>
              <w:t xml:space="preserve">2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|e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|/Y</w:t>
            </w:r>
            <w:r>
              <w:rPr>
                <w:b/>
                <w:bCs/>
                <w:color w:val="1F3864"/>
                <w:sz w:val="18"/>
                <w:szCs w:val="18"/>
                <w:vertAlign w:val="subscript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1250.00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−100.00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10000.00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8.70 %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970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1161.00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−191.00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191.00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36481.00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19.69 %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991.01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108.99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108.99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11878.82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9.91 %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1170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1088.01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81.99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81.99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6722.18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7.01 %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1160.98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−80.98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80.98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6557.96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1088.91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31.09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31.09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966.72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1116.58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113.42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113.42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12864.13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9.22 %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1217.52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−7.52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7.52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56.61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1210.83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−160.83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160.83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25865.52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15.32 %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1067.69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−37.69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37.69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1420.61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3.66 %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1034.15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−44.15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44.15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1948.87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4.46 %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994.86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155.14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155.14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24069.64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13.49 %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1132.93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4497.83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5.59 %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1192.62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−12.62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159.33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1181.39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68.61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68.61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4707.54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5.49 %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1242.45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−12.45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12.45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155.07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1231.37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−41.37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41.37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1711.46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3.48 %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?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1194.55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8"/>
                <w:szCs w:val="18"/>
              </w:rPr>
              <w:t xml:space="preserve"> 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64.07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6537.02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5.67 %</w:t>
            </w:r>
          </w:p>
        </w:tc>
      </w:tr>
    </w:tbl>
    <w:p>
      <w:pPr>
        <w:spacing w:after="200" w:before="60"/>
        <w:jc w:val="left"/>
      </w:pPr>
      <w:r>
        <w:rPr>
          <w:i/>
          <w:iCs/>
          <w:color w:val="52514E"/>
          <w:sz w:val="18"/>
          <w:szCs w:val="18"/>
        </w:rPr>
        <w:t xml:space="preserve">La fila «Media» promedia los errores de t = 6 a 18 (ventana común de evaluación) y da MAD, ECM y MAPE. Los errores de t = 2 a 5 se muestran, pero no entran en el promedio.</w:t>
      </w:r>
    </w:p>
    <w:p>
      <w:pPr>
        <w:pStyle w:val="Heading3"/>
      </w:pPr>
      <w:r>
        <w:t xml:space="preserve">Paso 4. Pronóstico para el mes siguiente (t = 19)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19</w:t>
      </w:r>
      <w:r>
        <w:rPr>
          <w:rFonts w:ascii="Cambria Math" w:cs="Cambria Math" w:eastAsia="Cambria Math" w:hAnsi="Cambria Math"/>
          <w:sz w:val="22"/>
          <w:szCs w:val="22"/>
        </w:rPr>
        <w:t xml:space="preserve"> = α Y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18</w:t>
      </w:r>
      <w:r>
        <w:rPr>
          <w:rFonts w:ascii="Cambria Math" w:cs="Cambria Math" w:eastAsia="Cambria Math" w:hAnsi="Cambria Math"/>
          <w:sz w:val="22"/>
          <w:szCs w:val="22"/>
        </w:rPr>
        <w:t xml:space="preserve"> + (1 − α) Ŷ</w:t>
      </w:r>
      <w:r>
        <w:rPr>
          <w:rFonts w:ascii="Cambria Math" w:cs="Cambria Math" w:eastAsia="Cambria Math" w:hAnsi="Cambria Math"/>
          <w:sz w:val="22"/>
          <w:szCs w:val="22"/>
          <w:vertAlign w:val="subscript"/>
        </w:rPr>
        <w:t xml:space="preserve">18</w:t>
      </w:r>
      <w:r>
        <w:rPr>
          <w:rFonts w:ascii="Cambria Math" w:cs="Cambria Math" w:eastAsia="Cambria Math" w:hAnsi="Cambria Math"/>
          <w:sz w:val="22"/>
          <w:szCs w:val="22"/>
        </w:rPr>
        <w:t xml:space="preserve"> = 0.89(1190) + 0.11(1231.37) = 1194.55</w:t>
      </w:r>
    </w:p>
    <w:p>
      <w:pPr>
        <w:spacing w:after="120" w:line="276"/>
        <w:jc w:val="both"/>
      </w:pPr>
      <w:r>
        <w:rPr>
          <w:b/>
          <w:bCs/>
        </w:rPr>
        <w:t xml:space="preserve">Pronóstico: Ŷ</w:t>
      </w:r>
      <w:r>
        <w:rPr>
          <w:b/>
          <w:bCs/>
          <w:vertAlign w:val="subscript"/>
        </w:rPr>
        <w:t xml:space="preserve">19</w:t>
      </w:r>
      <w:r>
        <w:rPr>
          <w:b/>
          <w:bCs/>
        </w:rPr>
        <w:t xml:space="preserve"> ≈ 1195 unidades.</w:t>
      </w:r>
      <w:r>
        <w:t xml:space="preserve"> Un intervalo aproximado al 95 % es Ŷ</w:t>
      </w:r>
      <w:r>
        <w:rPr>
          <w:vertAlign w:val="subscript"/>
        </w:rPr>
        <w:t xml:space="preserve">19</w:t>
      </w:r>
      <w:r>
        <w:t xml:space="preserve"> ± 1.96 × √ECM = 1194.6 ± 1.96(80.85) = [1036; 1353] unidades.</w:t>
      </w:r>
    </w:p>
    <w:p>
      <w:pPr>
        <w:spacing w:after="120" w:line="276"/>
        <w:jc w:val="both"/>
      </w:pPr>
      <w:r>
        <w:t xml:space="preserve">El pronóstico es robusto: todos los métodos razonables de la Tabla 3.3 dan valores entre 1 190 y 1 205 unidades para el mes 19.</w:t>
      </w:r>
    </w:p>
    <w:p>
      <w:pPr>
        <w:pStyle w:val="Heading1"/>
      </w:pPr>
      <w:r>
        <w:t xml:space="preserve">Resumen de respuestas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777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Pregunta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1 a)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 (ene…dic) = 1.278; 0.907; 0.616; 0.482; 0.426; 0.467; 0.653; 0.863; 1.365; 1.790; 1.865; 1.288.  T</w:t>
            </w:r>
            <w:r>
              <w:rPr>
                <w:sz w:val="18"/>
                <w:szCs w:val="18"/>
                <w:vertAlign w:val="subscript"/>
              </w:rPr>
              <w:t xml:space="preserve">t</w:t>
            </w:r>
            <w:r>
              <w:rPr>
                <w:sz w:val="18"/>
                <w:szCs w:val="18"/>
              </w:rPr>
              <w:t xml:space="preserve"> = 72.620 + 6.0128 t.  MAPE = 14.21 %.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1 b)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Ambos componentes, tendencia y estacionalidad (con uno solo, el MAPE sube a más de 50 %).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1 c)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Jun–dic 2006: 253; 358; 478; 764; 1012; 1066; 744 (total 2006 ≈ 6455).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2 a)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 (ene…dic) = 0.335; −0.018; −0.402; −0.637; −0.714; −0.571; −0.273; −0.001; 0.470; 0.723; 0.747; 0.342.  T</w:t>
            </w:r>
            <w:r>
              <w:rPr>
                <w:sz w:val="18"/>
                <w:szCs w:val="18"/>
                <w:vertAlign w:val="subscript"/>
              </w:rPr>
              <w:t xml:space="preserve">t</w:t>
            </w:r>
            <w:r>
              <w:rPr>
                <w:sz w:val="18"/>
                <w:szCs w:val="18"/>
              </w:rPr>
              <w:t xml:space="preserve"> = 4.6462 + 0.02150 t.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2 b)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Ambos componentes.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2 c)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ln Ŷ jun–dic: 5.753; 6.072; 6.365; 6.858; 7.132; 7.178; 6.795.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2 d)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Ŷ jun–dic: 315; 434; 581; 951; 1252; 1310; 893 (total 2006 ≈ 7517).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2 e)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Se prefieren los pronósticos de la pregunta 1: mejor desempeño fuera de muestra, crecimiento lineal coherente con los datos y pronósticos más realistas.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8"/>
                <w:szCs w:val="18"/>
              </w:rPr>
              <w:t xml:space="preserve">Serie horizontal → suavización exponencial simple con α = 0.89 (mínimo ECM). Ŷ</w:t>
            </w:r>
            <w:r>
              <w:rPr>
                <w:sz w:val="18"/>
                <w:szCs w:val="18"/>
                <w:vertAlign w:val="subscript"/>
              </w:rPr>
              <w:t xml:space="preserve">19</w:t>
            </w:r>
            <w:r>
              <w:rPr>
                <w:sz w:val="18"/>
                <w:szCs w:val="18"/>
              </w:rPr>
              <w:t xml:space="preserve"> ≈ 1195 unidades.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Anexo A. Descomposición multiplicativa completa (pregunta 1)</w:t>
      </w:r>
    </w:p>
    <w:p>
      <w:pPr>
        <w:spacing w:after="120" w:line="276"/>
        <w:jc w:val="both"/>
      </w:pPr>
      <w:r>
        <w:rPr>
          <w:sz w:val="18"/>
          <w:szCs w:val="18"/>
        </w:rPr>
        <w:t xml:space="preserve">Y/PMC = razón al promedio móvil;  Y/S = serie desestacionalizada;  Ŷ = T × S = valor ajustado;  I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= Y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/ Ŷ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.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700"/>
        <w:gridCol w:w="650"/>
        <w:gridCol w:w="750"/>
        <w:gridCol w:w="950"/>
        <w:gridCol w:w="850"/>
        <w:gridCol w:w="900"/>
        <w:gridCol w:w="950"/>
        <w:gridCol w:w="950"/>
        <w:gridCol w:w="950"/>
        <w:gridCol w:w="92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Año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Mes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Y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PMC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Y/PMC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S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Y/S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Ŷ = T×S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I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1.2781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120.50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78.63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100.50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1.5324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96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105.80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84.65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76.81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1.2499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118.56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90.66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55.82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1.3077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101.72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96.67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46.57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1.0522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0.4256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84.58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102.68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43.70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0.8237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126.22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108.70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50.81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1.1612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95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148.75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0.6387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0.6533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145.42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114.71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74.93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1.2678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151.58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1.1149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0.8634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195.73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120.72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104.23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1.6213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153.21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1.3707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1.3648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153.87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126.73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172.96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1.2141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155.17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1.7916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1.7898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155.32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132.75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237.59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1.1701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158.17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1.8841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1.8651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159.78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138.76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258.80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1.1515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245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161.25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1.5194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1.2877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190.26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144.77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186.42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1.3142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165.58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1.2079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1.2781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156.49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150.79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192.71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1.0378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118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168.58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130.04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156.80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142.28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0.8294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90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171.88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0.5236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146.17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162.81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100.25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0.8978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178.04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0.4437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164.00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168.82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81.33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0.9714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184.13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0.4256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183.26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174.84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74.41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1.0482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91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185.58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0.4903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194.68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180.85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84.54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1.0765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184.79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0.9037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0.6533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255.64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186.86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122.07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1.3681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185.17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0.9127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0.8634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195.73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192.87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166.53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1.0148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289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185.29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1.5597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1.3648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211.76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198.89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271.44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1.0647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347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186.25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1.8631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1.7898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193.87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204.90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366.73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0.9462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375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186.38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2.0121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1.8651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201.07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210.91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393.37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0.9533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186.58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1.0880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1.2877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157.65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216.93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279.33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0.7267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223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185.58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1.2016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1.2781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174.48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222.94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284.93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0.7827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186.00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0.5591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114.61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228.95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207.75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0.5006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189.67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0.5641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173.77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234.96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144.68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0.7396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196.29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0.4330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176.45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240.98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116.08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0.7322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205.71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0.3646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0.4256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176.21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246.99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105.12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0.7134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215.54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0.4593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211.79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253.00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118.26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0.8371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135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225.79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0.5979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0.6533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206.66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259.02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169.20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0.7979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237.46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0.8886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0.8634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244.37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265.03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228.83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0.9221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335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248.88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1.3461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1.3648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245.46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271.04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369.91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0.9056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256.08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1.7963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1.7898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257.01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277.05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495.87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0.9277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261.46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1.8651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261.65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283.07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527.93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0.9244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266.42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1.2236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1.2877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253.17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289.08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372.24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0.8758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346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272.00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1.2781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270.72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295.09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377.14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0.9174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261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278.21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0.9381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287.64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301.10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273.22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0.9553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224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285.33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0.7850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363.79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307.12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189.10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1.1845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141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294.08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292.70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313.13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150.84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0.9348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148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303.42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0.4878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0.4256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347.73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319.14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135.83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1.0896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145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314.46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310.20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325.16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151.99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0.9540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223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327.50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0.6809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0.6533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341.37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331.17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216.34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1.0308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340.63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0.7985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0.8634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315.02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337.18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291.13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0.9343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445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349.75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1.3648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326.06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343.19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468.38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0.9501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560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355.79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1.5740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1.7898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312.88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349.21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625.01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0.8960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360.67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1.6969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1.8651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328.14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355.22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662.50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0.9238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364.38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1.2877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362.66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361.23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465.16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1.0040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518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367.08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1.4111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1.2781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405.30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367.24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469.36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1.1036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371.04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1.0888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445.23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373.26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338.69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1.1928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374.79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0.8004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487.22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379.27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233.53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1.2846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380.58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0.5518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435.94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385.28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185.60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1.1315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389.71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0.5029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0.4256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460.50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391.30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166.54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1.1769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399.79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397.92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397.31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185.72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1.0015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247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409.71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0.6029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0.6533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378.10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403.32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263.47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0.9375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343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413.17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0.8302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0.8634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397.25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409.33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353.43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0.9705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411.54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1.1275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1.3648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339.98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415.35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566.86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0.8186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680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415.08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1.6382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1.7898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379.93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421.36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754.15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0.9017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711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419.46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1.6950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1.8651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381.22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427.37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797.07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0.8920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610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422.13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1.4451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1.2877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473.72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433.38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558.07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1.0931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613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428.29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1.4313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1.2781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479.63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439.40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561.58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1.0916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392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434.04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0.9031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432.00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445.41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404.16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0.9699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445.46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0.6129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443.37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451.42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277.96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0.9822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322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461.75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0.6973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668.44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457.44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220.35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1.4613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189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476.83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0.3964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0.4256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444.05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463.45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197.25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0.9582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486.75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0.5280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549.81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469.46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219.44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1.1711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489.63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0.6617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0.6533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495.97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475.47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310.61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1.0431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404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486.75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0.8300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0.8634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467.90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481.49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415.73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0.9718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677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485.38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1.3948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1.3648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496.05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487.50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665.33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1.0175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858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484.42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1.7712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1.7898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479.38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493.51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883.30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0.9714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895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484.79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1.8462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1.8651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479.88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499.53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931.64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0.9607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664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1.2877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515.65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505.54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650.98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1.0200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628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1.2781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491.37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511.55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653.79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0.9606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308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0.9074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339.43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517.56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469.64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0.6558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0.6157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526.19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523.58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322.39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1.0050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248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514.83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529.59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255.11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0.9721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272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0.4256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639.06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535.60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227.96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1.1932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Anexo B. Descomposición aditiva completa de ln(ventas) (pregunta 2)</w:t>
      </w:r>
    </w:p>
    <w:p>
      <w:pPr>
        <w:spacing w:after="120" w:line="276"/>
        <w:jc w:val="both"/>
      </w:pPr>
      <w:r>
        <w:rPr>
          <w:sz w:val="18"/>
          <w:szCs w:val="18"/>
        </w:rPr>
        <w:t xml:space="preserve">d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= ln Y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− PMC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;  ln Y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  <w:vertAlign w:val="superscript"/>
        </w:rPr>
        <w:t xml:space="preserve">d</w:t>
      </w:r>
      <w:r>
        <w:rPr>
          <w:sz w:val="18"/>
          <w:szCs w:val="18"/>
        </w:rPr>
        <w:t xml:space="preserve"> = ln Y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− S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(serie desestacionalizada);  I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= ln Y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− (T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 + S</w:t>
      </w:r>
      <w:r>
        <w:rPr>
          <w:sz w:val="18"/>
          <w:szCs w:val="18"/>
          <w:vertAlign w:val="subscript"/>
        </w:rPr>
        <w:t xml:space="preserve">t</w:t>
      </w:r>
      <w:r>
        <w:rPr>
          <w:sz w:val="18"/>
          <w:szCs w:val="18"/>
        </w:rPr>
        <w:t xml:space="preserve">).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700"/>
        <w:gridCol w:w="650"/>
        <w:gridCol w:w="830"/>
        <w:gridCol w:w="900"/>
        <w:gridCol w:w="900"/>
        <w:gridCol w:w="870"/>
        <w:gridCol w:w="880"/>
        <w:gridCol w:w="880"/>
        <w:gridCol w:w="880"/>
        <w:gridCol w:w="108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Año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Mes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ln Y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PMC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d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S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ln Y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  <w:r>
              <w:rPr>
                <w:b/>
                <w:bCs/>
                <w:color w:val="1F3864"/>
                <w:sz w:val="16"/>
                <w:szCs w:val="16"/>
                <w:vertAlign w:val="superscript"/>
              </w:rPr>
              <w:t xml:space="preserve">d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T+S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I</w:t>
            </w:r>
            <w:r>
              <w:rPr>
                <w:b/>
                <w:bCs/>
                <w:color w:val="1F3864"/>
                <w:sz w:val="16"/>
                <w:szCs w:val="16"/>
                <w:vertAlign w:val="subscript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5.0370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0.3346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4.7023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4.6677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5.0024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0.0346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4.5643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−0.0181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4.5825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4.6892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4.6711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−0.1068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4.2905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4.6929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4.7107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4.3083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−0.0178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3.8918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−0.6370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4.5288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4.7323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4.0953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−0.2034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3.5835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−0.7140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4.2975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4.7538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4.0397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−0.4562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4.0775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−0.5706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4.6481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4.7753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4.2047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−0.1271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4.5539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4.7860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−0.2321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−0.2730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4.8269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4.7968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4.5238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0.0301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5.1299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4.8055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0.3244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−0.0012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5.1311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4.8183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4.8171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0.3128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5.3471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4.8228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0.5243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4.8771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4.8398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5.3097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0.0374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5.6276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4.8514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0.7762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0.7229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4.9047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4.8613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5.5842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0.0434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5.6971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4.9036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0.7935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0.7467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4.9504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4.8828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5.6295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0.0676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5.5013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4.9538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0.5474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0.3422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5.1591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4.9043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5.2465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0.2548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5.2983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4.9954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0.3029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0.3346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4.9637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4.9258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5.2604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0.0379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4.7707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5.0189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−0.2482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−0.0181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4.7888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4.9473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4.9292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−0.1585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4.4998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5.0322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−0.5324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4.9023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4.9688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4.5663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−0.0665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4.3694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5.0547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−0.6853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−0.6370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5.0064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4.9903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4.3533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0.0161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4.3567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−0.7169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−0.7140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5.0707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5.0118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4.2978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0.0589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4.5109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−0.5644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−0.5706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5.0814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5.0333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4.4627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0.0481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5.1180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0.0460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−0.2730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5.3910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5.0548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4.7818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0.3362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5.1299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0.0586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−0.0012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5.1311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5.0763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5.0751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0.0548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5.6664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0.5932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5.1965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5.0978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5.5678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0.0986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5.8493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5.0835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0.7658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0.7229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5.1264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5.1193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5.8422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0.0071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5.9269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5.0849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0.8420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0.7467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5.1802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5.1408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5.8875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0.0394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5.3132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5.0868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0.2264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0.3422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4.9710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5.1623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5.5045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−0.1913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5.4072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5.0814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0.3257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0.3346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5.0726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5.1838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5.5185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−0.1113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4.6444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5.0818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−0.4374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−0.0181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4.6625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5.2053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5.1872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−0.5428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4.6728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5.0972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−0.4244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5.0753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5.2268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4.8244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−0.1515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4.4427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5.1151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−0.6725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−0.6370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5.0796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5.2483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4.6114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−0.1687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4.3175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5.1378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−0.8203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−0.7140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5.0315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5.2699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4.5558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−0.2384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4.5951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5.1685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−0.5734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−0.5706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5.1657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5.2914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4.7208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−0.1257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4.9053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5.2066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−0.3013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−0.2730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5.1783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5.3129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5.0399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−0.1346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5.3519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5.2632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0.0886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−0.0012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5.3531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5.3344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5.3332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0.0187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5.8141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5.3323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0.4818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5.3442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5.3559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5.8258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−0.0117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6.1312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5.3842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0.7470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0.7229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5.4083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5.3774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6.1003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0.0309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6.1903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5.4336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0.7567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0.7467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5.4436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5.3989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6.1456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0.0447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5.7869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5.4779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0.3090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0.3422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5.4447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5.4204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5.7626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0.0243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5.8464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5.5147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0.3318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0.3346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5.5118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5.4419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5.7765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0.0699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5.5645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5.5462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0.0184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−0.0181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5.5827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5.4634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5.4453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0.1193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5.4116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5.5686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−0.1569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5.8141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5.4849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5.0824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0.3292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4.9488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5.5886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−0.6398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−0.6370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5.5858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5.5064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4.8694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0.0794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4.9972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5.6062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−0.6090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−0.7140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5.7112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5.5279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4.8139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0.1833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4.9767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5.6306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−0.6539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−0.5706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5.5473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5.5494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4.9788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−0.0021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5.4072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5.6624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−0.2553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−0.2730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5.6802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5.5709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5.2979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0.1093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5.6058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5.6974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−0.0916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−0.0012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5.6070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5.5924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5.5912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0.0146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6.0981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5.7278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0.3703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5.6281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5.6139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6.0839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0.0142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6.3279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5.7566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0.5713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0.7229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5.6050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5.6354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6.3583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−0.0304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6.4167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5.7849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0.6318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0.7467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5.6700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5.6569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6.4036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0.0131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6.1463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5.8070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0.3394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0.3422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5.8041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5.6784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6.0206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0.1257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6.2500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5.8216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0.4284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0.3346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5.9154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5.6999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6.0346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0.2154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6.0014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5.8355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0.1659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−0.0181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6.0196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5.7214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5.7033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0.2981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5.7038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5.8469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−0.1432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6.1063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5.7429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5.3405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0.3633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5.3471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5.8568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−0.5097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−0.6370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5.9841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5.7644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5.1275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0.2197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5.2781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5.8711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−0.5930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−0.7140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5.9921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5.7859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5.0719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0.2062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5.2257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5.8885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−0.6627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−0.5706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5.7963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5.8075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5.2369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5.5094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5.9066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−0.3972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−0.2730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5.7824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5.8290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5.5560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−0.0466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5.8377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5.9124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−0.0747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−0.0012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5.8389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5.8505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5.8493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6.1399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5.9072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0.2327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5.6699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5.8720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6.3419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−0.2020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6.5221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5.9211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0.6010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0.7229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5.7992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5.8935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6.6164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−0.0943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59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6.5667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5.9374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0.6293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0.7467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5.8200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5.9150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6.6617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−0.0950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6.4135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5.9493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0.4641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0.3422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6.0713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5.9365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6.2787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0.1348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6.4184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5.9741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0.4443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0.3346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6.0837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5.9580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6.2926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0.1258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5.9713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5.9922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−0.0210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−0.0181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5.9894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5.9795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5.9614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0.0099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5.6095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6.0148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−0.4053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6.0120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6.0010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5.5985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0.0110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5.7746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6.0402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−0.2657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−0.6370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6.4115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6.0225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5.3855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0.3891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5.2417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6.0595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−0.8178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−0.7140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5.9558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6.0440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5.3300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−0.0882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Jun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5.5491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6.0726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−0.5236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−0.5706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6.1197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6.0655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5.4949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0.0542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Jul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5.7807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6.0772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−0.2964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−0.2730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6.0537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6.0870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5.8140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−0.0333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Ago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6.0014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6.0681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−0.0667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−0.0012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6.0026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6.1085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6.1073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−0.1059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69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Sep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6.5177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6.0652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0.4524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0.4700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6.0477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6.1300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6.6000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−0.0823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Oct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6.7546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6.0615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0.6931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0.7229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6.0317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6.1515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6.8744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−0.1198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Nov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6.7968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6.0658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0.7311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0.7467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6.0501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6.1730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6.9197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−0.1229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Dic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6.4983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0.3422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6.1561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6.1945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6.5367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−0.0384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Ene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6.4425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0.3346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6.1079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6.2160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6.5506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−0.1081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Feb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5.7301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−0.0181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5.7482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6.2375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6.2194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−0.4893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5.7807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−0.4025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6.1832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6.2590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5.8566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−0.0758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Abr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5.5134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−0.6370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6.1504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6.2805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5.6435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−0.1301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77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2006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left"/>
            </w:pPr>
            <w:r>
              <w:rPr>
                <w:sz w:val="16"/>
                <w:szCs w:val="16"/>
              </w:rPr>
              <w:t xml:space="preserve">May</w:t>
            </w:r>
          </w:p>
        </w:tc>
        <w:tc>
          <w:tcPr>
            <w:tcW w:type="dxa" w:w="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5.6058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−0.7140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6.3198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6.3020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5.5880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/>
              <w:jc w:val="right"/>
            </w:pPr>
            <w:r>
              <w:rPr>
                <w:sz w:val="16"/>
                <w:szCs w:val="16"/>
              </w:rPr>
              <w:t xml:space="preserve">0.0178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18" w:bottom="13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Series Cronológicas · Primera Práctica Calificada · Solucionario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A78D6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9dcde6c12b24d993d5efbc0fcaa2098170604d.png"/><Relationship Id="rId10" Type="http://schemas.openxmlformats.org/officeDocument/2006/relationships/image" Target="media/696a3fc1b408523ea6d4351a64a6bd4bb3db7b71.png"/><Relationship Id="rId11" Type="http://schemas.openxmlformats.org/officeDocument/2006/relationships/image" Target="media/f12c62cc1f363c28a4387f91ce0f26abefcfe064.png"/><Relationship Id="rId12" Type="http://schemas.openxmlformats.org/officeDocument/2006/relationships/image" Target="media/c931d395d3e5789b2ae12298e62ca61ffa4a97cf.png"/><Relationship Id="rId13" Type="http://schemas.openxmlformats.org/officeDocument/2006/relationships/image" Target="media/93d51537f5dfe085964a745dfb12bb820f1e735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Primera Práctica Calificada – Solucionario</dc:title>
  <dc:creator>Solucionario – Series Cronológicas</dc:creator>
  <cp:lastModifiedBy>Un-named</cp:lastModifiedBy>
  <cp:revision>1</cp:revision>
  <dcterms:created xsi:type="dcterms:W3CDTF">2026-10-04T03:03:18.260Z</dcterms:created>
  <dcterms:modified xsi:type="dcterms:W3CDTF">2026-10-04T03:03:18.261Z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