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5395"/>
          <w:spacing w:val="20"/>
          <w:sz w:val="20"/>
          <w:szCs w:val="20"/>
        </w:rPr>
        <w:t xml:space="preserve">PROJECT 4</w:t>
      </w:r>
    </w:p>
    <w:p>
      <w:pPr>
        <w:spacing w:after="120"/>
        <w:jc w:val="center"/>
      </w:pPr>
      <w:r>
        <w:rPr>
          <w:b/>
          <w:bCs/>
          <w:color w:val="1F3864"/>
          <w:sz w:val="40"/>
          <w:szCs w:val="40"/>
        </w:rPr>
        <w:t xml:space="preserve">Ethical Considerations in Deep Learning</w:t>
      </w:r>
    </w:p>
    <w:p>
      <w:pPr>
        <w:pBdr>
          <w:bottom w:val="single" w:color="2E5395" w:sz="6" w:space="8"/>
        </w:pBdr>
        <w:spacing w:after="60"/>
        <w:jc w:val="center"/>
      </w:pPr>
      <w:r>
        <w:rPr>
          <w:i/>
          <w:iCs/>
          <w:color w:val="555555"/>
          <w:sz w:val="22"/>
          <w:szCs w:val="22"/>
        </w:rPr>
        <w:t xml:space="preserve">A Report on Bias, Privacy, Fairness, Transparency, and Responsible AI Use</w:t>
      </w:r>
    </w:p>
    <w:p>
      <w:pPr>
        <w:spacing w:after="300"/>
      </w:pPr>
      <w:r>
        <w:t xml:space="preserve"/>
      </w:r>
    </w:p>
    <w:p>
      <w:pPr>
        <w:pStyle w:val="Heading1"/>
        <w:spacing w:after="160" w:before="360"/>
      </w:pPr>
      <w:r>
        <w:rPr>
          <w:b/>
          <w:bCs/>
          <w:color w:val="1F3864"/>
          <w:sz w:val="28"/>
          <w:szCs w:val="28"/>
        </w:rPr>
        <w:t xml:space="preserve">Introduction</w:t>
      </w:r>
    </w:p>
    <w:p>
      <w:pPr>
        <w:spacing w:after="160" w:line="276"/>
      </w:pPr>
      <w:r>
        <w:rPr>
          <w:sz w:val="22"/>
          <w:szCs w:val="22"/>
        </w:rPr>
        <w:t xml:space="preserve">Deep learning systems now influence decisions in hiring, lending, healthcare, criminal justice, and everyday consumer technology. As these systems take on greater responsibility, the ethical stakes of how they are designed, trained, and deployed grow accordingly. This report examines three central ethical issues in deep learning, analyzes a real-world case in which a deep learning system produced an ethical concern, and proposes practical measures to reduce or address such issues.</w:t>
      </w:r>
    </w:p>
    <w:p>
      <w:pPr>
        <w:pStyle w:val="Heading1"/>
        <w:spacing w:after="160" w:before="360"/>
      </w:pPr>
      <w:r>
        <w:rPr>
          <w:b/>
          <w:bCs/>
          <w:color w:val="1F3864"/>
          <w:sz w:val="28"/>
          <w:szCs w:val="28"/>
        </w:rPr>
        <w:t xml:space="preserve">Task 1: Three Ethical Issues in Deep Learning</w:t>
      </w:r>
    </w:p>
    <w:p>
      <w:pPr>
        <w:pStyle w:val="Heading2"/>
        <w:spacing w:after="120" w:before="260"/>
      </w:pPr>
      <w:r>
        <w:rPr>
          <w:b/>
          <w:bCs/>
          <w:color w:val="2E5395"/>
          <w:sz w:val="24"/>
          <w:szCs w:val="24"/>
        </w:rPr>
        <w:t xml:space="preserve">1. Bias and Discrimination</w:t>
      </w:r>
    </w:p>
    <w:p>
      <w:pPr>
        <w:spacing w:after="160" w:line="276"/>
      </w:pPr>
      <w:r>
        <w:rPr>
          <w:sz w:val="22"/>
          <w:szCs w:val="22"/>
        </w:rPr>
        <w:t xml:space="preserve">Deep learning models learn patterns from historical training data. If that data reflects past social, racial, or gender bias, the model can reproduce and even amplify that bias at scale. This is especially dangerous because deep learning systems are often perceived as "objective" or "mathematical," which can lend false legitimacy to biased outcomes. Bias can enter a system through unrepresentative datasets, biased labeling by human annotators, or proxy variables that correlate with protected attributes such as race or gender.</w:t>
      </w:r>
    </w:p>
    <w:p>
      <w:pPr>
        <w:pStyle w:val="Heading2"/>
        <w:spacing w:after="120" w:before="260"/>
      </w:pPr>
      <w:r>
        <w:rPr>
          <w:b/>
          <w:bCs/>
          <w:color w:val="2E5395"/>
          <w:sz w:val="24"/>
          <w:szCs w:val="24"/>
        </w:rPr>
        <w:t xml:space="preserve">2. Privacy Violations</w:t>
      </w:r>
    </w:p>
    <w:p>
      <w:pPr>
        <w:spacing w:after="160" w:line="276"/>
      </w:pPr>
      <w:r>
        <w:rPr>
          <w:sz w:val="22"/>
          <w:szCs w:val="22"/>
        </w:rPr>
        <w:t xml:space="preserve">Training deep learning models, particularly large ones, often requires vast quantities of personal data: images, text, location histories, medical records, or biometric information. This raises concerns about consent, data ownership, and the possibility that models may memorize and later reveal sensitive training data. Facial recognition and voice-cloning systems in particular raise the risk of surveillance and identity misuse without an individual's knowledge or agreement.</w:t>
      </w:r>
    </w:p>
    <w:p>
      <w:pPr>
        <w:pStyle w:val="Heading2"/>
        <w:spacing w:after="120" w:before="260"/>
      </w:pPr>
      <w:r>
        <w:rPr>
          <w:b/>
          <w:bCs/>
          <w:color w:val="2E5395"/>
          <w:sz w:val="24"/>
          <w:szCs w:val="24"/>
        </w:rPr>
        <w:t xml:space="preserve">3. Lack of Transparency and Explainability</w:t>
      </w:r>
    </w:p>
    <w:p>
      <w:pPr>
        <w:spacing w:after="160" w:line="276"/>
      </w:pPr>
      <w:r>
        <w:rPr>
          <w:sz w:val="22"/>
          <w:szCs w:val="22"/>
        </w:rPr>
        <w:t xml:space="preserve">Deep neural networks are often described as "black boxes" because their internal decision-making process is difficult for humans to interpret, even for the engineers who built them. When a system denies someone a loan, flags them as high-risk, or makes a medical diagnosis, the inability to explain why undermines accountability, makes errors hard to detect, and erodes public trust, especially in high-stakes domains.</w:t>
      </w:r>
    </w:p>
    <w:p>
      <w:pPr>
        <w:spacing w:after="160" w:line="276"/>
      </w:pPr>
      <w:r>
        <w:rPr>
          <w:sz w:val="22"/>
          <w:szCs w:val="22"/>
        </w:rPr>
        <w:t xml:space="preserve">Beyond these three, deep learning also raises important concerns around fairness in resource allocation, accountability when systems cause harm, job displacement, environmental cost of training large models, and the potential for misuse in deepfakes or autonomous weapons. This report focuses on the three above as they most directly affect individuals in everyday interactions with AI systems.</w:t>
      </w:r>
    </w:p>
    <w:p>
      <w:pPr>
        <w:pStyle w:val="Heading1"/>
        <w:spacing w:after="160" w:before="360"/>
      </w:pPr>
      <w:r>
        <w:rPr>
          <w:b/>
          <w:bCs/>
          <w:color w:val="1F3864"/>
          <w:sz w:val="28"/>
          <w:szCs w:val="28"/>
        </w:rPr>
        <w:t xml:space="preserve">Task 2: Real-World Example — the COMPAS Recidivism Algorithm</w:t>
      </w:r>
    </w:p>
    <w:p>
      <w:pPr>
        <w:spacing w:after="160" w:line="276"/>
      </w:pPr>
      <w:r>
        <w:rPr>
          <w:sz w:val="22"/>
          <w:szCs w:val="22"/>
        </w:rPr>
        <w:t xml:space="preserve">One of the most widely studied real-world ethical concerns in AI involves COMPAS (Correctional Offender Management Profiling for Alternative Sanctions), a risk-assessment tool used by courts in parts of the United States to predict the likelihood that a defendant would reoffend. Judges used COMPAS risk scores to help inform decisions on bail, sentencing, and parole.</w:t>
      </w:r>
    </w:p>
    <w:p>
      <w:pPr>
        <w:pStyle w:val="Heading2"/>
        <w:spacing w:after="120" w:before="260"/>
      </w:pPr>
      <w:r>
        <w:rPr>
          <w:b/>
          <w:bCs/>
          <w:color w:val="2E5395"/>
          <w:sz w:val="24"/>
          <w:szCs w:val="24"/>
        </w:rPr>
        <w:t xml:space="preserve">What Went Wrong</w:t>
      </w:r>
    </w:p>
    <w:p>
      <w:pPr>
        <w:spacing w:after="160" w:line="276"/>
      </w:pPr>
      <w:r>
        <w:rPr>
          <w:sz w:val="22"/>
          <w:szCs w:val="22"/>
        </w:rPr>
        <w:t xml:space="preserve">An investigation by journalists at ProPublica in 2016 analyzed COMPAS risk scores against actual reoffense outcomes for thousands of defendants. The analysis found that the tool was substantially more likely to incorrectly flag Black defendants as high-risk for future crime compared to white defendants, while white defendants who went on to reoffend were more often incorrectly labeled low-risk. The disparity persisted even though the algorithm did not explicitly use race as an input, suggesting that other variables in the data acted as proxies correlated with race, such as neighborhood, prior arrest history shaped by policing patterns, or socioeconomic indicators.</w:t>
      </w:r>
    </w:p>
    <w:p>
      <w:pPr>
        <w:pStyle w:val="Heading2"/>
        <w:spacing w:after="120" w:before="260"/>
      </w:pPr>
      <w:r>
        <w:rPr>
          <w:b/>
          <w:bCs/>
          <w:color w:val="2E5395"/>
          <w:sz w:val="24"/>
          <w:szCs w:val="24"/>
        </w:rPr>
        <w:t xml:space="preserve">Why It Was an Ethical Concern</w:t>
      </w:r>
    </w:p>
    <w:p>
      <w:pPr>
        <w:pStyle w:val="ListParagraph"/>
        <w:numPr>
          <w:ilvl w:val="0"/>
          <w:numId w:val="2"/>
        </w:numPr>
        <w:spacing w:after="90"/>
      </w:pPr>
      <w:r>
        <w:rPr>
          <w:sz w:val="22"/>
          <w:szCs w:val="22"/>
        </w:rPr>
        <w:t xml:space="preserve">Fairness: The tool produced unequal error rates across racial groups, directly affecting people's liberty.</w:t>
      </w:r>
    </w:p>
    <w:p>
      <w:pPr>
        <w:pStyle w:val="ListParagraph"/>
        <w:numPr>
          <w:ilvl w:val="0"/>
          <w:numId w:val="2"/>
        </w:numPr>
        <w:spacing w:after="90"/>
      </w:pPr>
      <w:r>
        <w:rPr>
          <w:sz w:val="22"/>
          <w:szCs w:val="22"/>
        </w:rPr>
        <w:t xml:space="preserve">Transparency: COMPAS was proprietary software, and its exact scoring formula was not disclosed, so defendants could not meaningfully challenge a score used against them.</w:t>
      </w:r>
    </w:p>
    <w:p>
      <w:pPr>
        <w:pStyle w:val="ListParagraph"/>
        <w:numPr>
          <w:ilvl w:val="0"/>
          <w:numId w:val="2"/>
        </w:numPr>
        <w:spacing w:after="90"/>
      </w:pPr>
      <w:r>
        <w:rPr>
          <w:sz w:val="22"/>
          <w:szCs w:val="22"/>
        </w:rPr>
        <w:t xml:space="preserve">Accountability: Because the algorithm's logic was opaque and privately owned, it was unclear who was responsible for correcting or auditing its errors.</w:t>
      </w:r>
    </w:p>
    <w:p>
      <w:pPr>
        <w:pStyle w:val="ListParagraph"/>
        <w:numPr>
          <w:ilvl w:val="0"/>
          <w:numId w:val="2"/>
        </w:numPr>
        <w:spacing w:after="90"/>
      </w:pPr>
      <w:r>
        <w:rPr>
          <w:sz w:val="22"/>
          <w:szCs w:val="22"/>
        </w:rPr>
        <w:t xml:space="preserve">Real-world harm: These were not abstract statistics — risk scores directly influenced decisions about bail, sentencing, and parole for real individuals.</w:t>
      </w:r>
    </w:p>
    <w:p>
      <w:pPr>
        <w:spacing w:after="160" w:line="276"/>
      </w:pPr>
      <w:r>
        <w:rPr>
          <w:sz w:val="22"/>
          <w:szCs w:val="22"/>
        </w:rPr>
        <w:t xml:space="preserve">The COMPAS case became a landmark example in AI ethics discussions because it illustrated how a system with no explicit bias in its design can still produce discriminatory outcomes purely through the data and proxies it relies on, and how a lack of transparency compounds that harm by making the bias difficult to detect or contest.</w:t>
      </w:r>
    </w:p>
    <w:p>
      <w:pPr>
        <w:pStyle w:val="Heading1"/>
        <w:spacing w:after="160" w:before="360"/>
      </w:pPr>
      <w:r>
        <w:rPr>
          <w:b/>
          <w:bCs/>
          <w:color w:val="1F3864"/>
          <w:sz w:val="28"/>
          <w:szCs w:val="28"/>
        </w:rPr>
        <w:t xml:space="preserve">Task 3: Measures to Reduce or Address These Issues</w:t>
      </w:r>
    </w:p>
    <w:p>
      <w:pPr>
        <w:pStyle w:val="Heading2"/>
        <w:spacing w:after="120" w:before="260"/>
      </w:pPr>
      <w:r>
        <w:rPr>
          <w:b/>
          <w:bCs/>
          <w:color w:val="2E5395"/>
          <w:sz w:val="24"/>
          <w:szCs w:val="24"/>
        </w:rPr>
        <w:t xml:space="preserve">Addressing Bias and Discrimination</w:t>
      </w:r>
    </w:p>
    <w:p>
      <w:pPr>
        <w:pStyle w:val="ListParagraph"/>
        <w:numPr>
          <w:ilvl w:val="0"/>
          <w:numId w:val="2"/>
        </w:numPr>
        <w:spacing w:after="90"/>
      </w:pPr>
      <w:r>
        <w:rPr>
          <w:sz w:val="22"/>
          <w:szCs w:val="22"/>
        </w:rPr>
        <w:t xml:space="preserve">Audit training data for representativeness across demographic groups before model development begins.</w:t>
      </w:r>
    </w:p>
    <w:p>
      <w:pPr>
        <w:pStyle w:val="ListParagraph"/>
        <w:numPr>
          <w:ilvl w:val="0"/>
          <w:numId w:val="2"/>
        </w:numPr>
        <w:spacing w:after="90"/>
      </w:pPr>
      <w:r>
        <w:rPr>
          <w:sz w:val="22"/>
          <w:szCs w:val="22"/>
        </w:rPr>
        <w:t xml:space="preserve">Apply fairness metrics (e.g., equalized odds, demographic parity) during testing, and report performance broken down by subgroup rather than in aggregate.</w:t>
      </w:r>
    </w:p>
    <w:p>
      <w:pPr>
        <w:pStyle w:val="ListParagraph"/>
        <w:numPr>
          <w:ilvl w:val="0"/>
          <w:numId w:val="2"/>
        </w:numPr>
        <w:spacing w:after="90"/>
      </w:pPr>
      <w:r>
        <w:rPr>
          <w:sz w:val="22"/>
          <w:szCs w:val="22"/>
        </w:rPr>
        <w:t xml:space="preserve">Use bias-mitigation techniques such as re-weighting training samples, adversarial debiasing, or removing proxy variables correlated with protected attributes.</w:t>
      </w:r>
    </w:p>
    <w:p>
      <w:pPr>
        <w:pStyle w:val="ListParagraph"/>
        <w:numPr>
          <w:ilvl w:val="0"/>
          <w:numId w:val="2"/>
        </w:numPr>
        <w:spacing w:after="90"/>
      </w:pPr>
      <w:r>
        <w:rPr>
          <w:sz w:val="22"/>
          <w:szCs w:val="22"/>
        </w:rPr>
        <w:t xml:space="preserve">Involve diverse teams and affected communities in the design and review process.</w:t>
      </w:r>
    </w:p>
    <w:p>
      <w:pPr>
        <w:pStyle w:val="Heading2"/>
        <w:spacing w:after="120" w:before="260"/>
      </w:pPr>
      <w:r>
        <w:rPr>
          <w:b/>
          <w:bCs/>
          <w:color w:val="2E5395"/>
          <w:sz w:val="24"/>
          <w:szCs w:val="24"/>
        </w:rPr>
        <w:t xml:space="preserve">Protecting Privacy</w:t>
      </w:r>
    </w:p>
    <w:p>
      <w:pPr>
        <w:pStyle w:val="ListParagraph"/>
        <w:numPr>
          <w:ilvl w:val="0"/>
          <w:numId w:val="2"/>
        </w:numPr>
        <w:spacing w:after="90"/>
      </w:pPr>
      <w:r>
        <w:rPr>
          <w:sz w:val="22"/>
          <w:szCs w:val="22"/>
        </w:rPr>
        <w:t xml:space="preserve">Apply data minimization: collect only what is strictly necessary for the task.</w:t>
      </w:r>
    </w:p>
    <w:p>
      <w:pPr>
        <w:pStyle w:val="ListParagraph"/>
        <w:numPr>
          <w:ilvl w:val="0"/>
          <w:numId w:val="2"/>
        </w:numPr>
        <w:spacing w:after="90"/>
      </w:pPr>
      <w:r>
        <w:rPr>
          <w:sz w:val="22"/>
          <w:szCs w:val="22"/>
        </w:rPr>
        <w:t xml:space="preserve">Use privacy-preserving techniques such as differential privacy, federated learning, and data anonymization.</w:t>
      </w:r>
    </w:p>
    <w:p>
      <w:pPr>
        <w:pStyle w:val="ListParagraph"/>
        <w:numPr>
          <w:ilvl w:val="0"/>
          <w:numId w:val="2"/>
        </w:numPr>
        <w:spacing w:after="90"/>
      </w:pPr>
      <w:r>
        <w:rPr>
          <w:sz w:val="22"/>
          <w:szCs w:val="22"/>
        </w:rPr>
        <w:t xml:space="preserve">Obtain clear, informed consent from individuals whose data is used, and provide opt-out mechanisms.</w:t>
      </w:r>
    </w:p>
    <w:p>
      <w:pPr>
        <w:pStyle w:val="ListParagraph"/>
        <w:numPr>
          <w:ilvl w:val="0"/>
          <w:numId w:val="2"/>
        </w:numPr>
        <w:spacing w:after="90"/>
      </w:pPr>
      <w:r>
        <w:rPr>
          <w:sz w:val="22"/>
          <w:szCs w:val="22"/>
        </w:rPr>
        <w:t xml:space="preserve">Comply with data protection regulations such as the GDPR, and conduct regular privacy impact assessments.</w:t>
      </w:r>
    </w:p>
    <w:p>
      <w:pPr>
        <w:pStyle w:val="Heading2"/>
        <w:spacing w:after="120" w:before="260"/>
      </w:pPr>
      <w:r>
        <w:rPr>
          <w:b/>
          <w:bCs/>
          <w:color w:val="2E5395"/>
          <w:sz w:val="24"/>
          <w:szCs w:val="24"/>
        </w:rPr>
        <w:t xml:space="preserve">Improving Transparency and Accountability</w:t>
      </w:r>
    </w:p>
    <w:p>
      <w:pPr>
        <w:pStyle w:val="ListParagraph"/>
        <w:numPr>
          <w:ilvl w:val="0"/>
          <w:numId w:val="2"/>
        </w:numPr>
        <w:spacing w:after="90"/>
      </w:pPr>
      <w:r>
        <w:rPr>
          <w:sz w:val="22"/>
          <w:szCs w:val="22"/>
        </w:rPr>
        <w:t xml:space="preserve">Use explainable AI (XAI) techniques, such as SHAP or LIME, to clarify why a model reached a particular decision.</w:t>
      </w:r>
    </w:p>
    <w:p>
      <w:pPr>
        <w:pStyle w:val="ListParagraph"/>
        <w:numPr>
          <w:ilvl w:val="0"/>
          <w:numId w:val="2"/>
        </w:numPr>
        <w:spacing w:after="90"/>
      </w:pPr>
      <w:r>
        <w:rPr>
          <w:sz w:val="22"/>
          <w:szCs w:val="22"/>
        </w:rPr>
        <w:t xml:space="preserve">Require independent, third-party audits of high-stakes algorithms, especially those used in criminal justice, hiring, and lending.</w:t>
      </w:r>
    </w:p>
    <w:p>
      <w:pPr>
        <w:pStyle w:val="ListParagraph"/>
        <w:numPr>
          <w:ilvl w:val="0"/>
          <w:numId w:val="2"/>
        </w:numPr>
        <w:spacing w:after="90"/>
      </w:pPr>
      <w:r>
        <w:rPr>
          <w:sz w:val="22"/>
          <w:szCs w:val="22"/>
        </w:rPr>
        <w:t xml:space="preserve">Mandate disclosure of a model's general logic and limitations to the people it affects, even when the full code remains proprietary.</w:t>
      </w:r>
    </w:p>
    <w:p>
      <w:pPr>
        <w:pStyle w:val="ListParagraph"/>
        <w:numPr>
          <w:ilvl w:val="0"/>
          <w:numId w:val="2"/>
        </w:numPr>
        <w:spacing w:after="90"/>
      </w:pPr>
      <w:r>
        <w:rPr>
          <w:sz w:val="22"/>
          <w:szCs w:val="22"/>
        </w:rPr>
        <w:t xml:space="preserve">Keep a human decision-maker in the loop for consequential decisions rather than fully automating them, and establish clear channels for individuals to appeal or contest algorithmic decisions.</w:t>
      </w:r>
    </w:p>
    <w:p>
      <w:pPr>
        <w:pStyle w:val="Heading2"/>
        <w:spacing w:after="120" w:before="260"/>
      </w:pPr>
      <w:r>
        <w:rPr>
          <w:b/>
          <w:bCs/>
          <w:color w:val="2E5395"/>
          <w:sz w:val="24"/>
          <w:szCs w:val="24"/>
        </w:rPr>
        <w:t xml:space="preserve">Broader Organizational Measures</w:t>
      </w:r>
    </w:p>
    <w:p>
      <w:pPr>
        <w:pStyle w:val="ListParagraph"/>
        <w:numPr>
          <w:ilvl w:val="0"/>
          <w:numId w:val="2"/>
        </w:numPr>
        <w:spacing w:after="90"/>
      </w:pPr>
      <w:r>
        <w:rPr>
          <w:sz w:val="22"/>
          <w:szCs w:val="22"/>
        </w:rPr>
        <w:t xml:space="preserve">Adopt an AI ethics framework or code of conduct within the organization developing or deploying the system.</w:t>
      </w:r>
    </w:p>
    <w:p>
      <w:pPr>
        <w:pStyle w:val="ListParagraph"/>
        <w:numPr>
          <w:ilvl w:val="0"/>
          <w:numId w:val="2"/>
        </w:numPr>
        <w:spacing w:after="90"/>
      </w:pPr>
      <w:r>
        <w:rPr>
          <w:sz w:val="22"/>
          <w:szCs w:val="22"/>
        </w:rPr>
        <w:t xml:space="preserve">Conduct ongoing post-deployment monitoring, since a model that was fair at launch can drift as real-world data changes.</w:t>
      </w:r>
    </w:p>
    <w:p>
      <w:pPr>
        <w:pStyle w:val="ListParagraph"/>
        <w:numPr>
          <w:ilvl w:val="0"/>
          <w:numId w:val="2"/>
        </w:numPr>
        <w:spacing w:after="90"/>
      </w:pPr>
      <w:r>
        <w:rPr>
          <w:sz w:val="22"/>
          <w:szCs w:val="22"/>
        </w:rPr>
        <w:t xml:space="preserve">Provide ethics and bias training for engineers and decision-makers involved in building and deploying AI systems.</w:t>
      </w:r>
    </w:p>
    <w:p>
      <w:pPr>
        <w:pStyle w:val="Heading1"/>
        <w:spacing w:after="160" w:before="360"/>
      </w:pPr>
      <w:r>
        <w:rPr>
          <w:b/>
          <w:bCs/>
          <w:color w:val="1F3864"/>
          <w:sz w:val="28"/>
          <w:szCs w:val="28"/>
        </w:rPr>
        <w:t xml:space="preserve">Conclusion</w:t>
      </w:r>
    </w:p>
    <w:p>
      <w:pPr>
        <w:spacing w:after="160" w:line="276"/>
      </w:pPr>
      <w:r>
        <w:rPr>
          <w:sz w:val="22"/>
          <w:szCs w:val="22"/>
        </w:rPr>
        <w:t xml:space="preserve">Deep learning offers tremendous benefits, but as the COMPAS case shows, systems that appear neutral can still produce unequal and harmful outcomes when built on biased data or deployed without transparency and oversight. Addressing bias, protecting privacy, and improving explainability are not one-time fixes but ongoing responsibilities. Combining technical solutions, such as fairness-aware training and explainable AI, with organizational accountability, regulation, and human oversight offers the most realistic path toward deep learning systems that are both powerful and trustworthy.</w:t>
      </w:r>
    </w:p>
    <w:p>
      <w:pPr>
        <w:pStyle w:val="Heading2"/>
        <w:spacing w:after="120" w:before="260"/>
      </w:pPr>
      <w:r>
        <w:rPr>
          <w:b/>
          <w:bCs/>
          <w:color w:val="2E5395"/>
          <w:sz w:val="24"/>
          <w:szCs w:val="24"/>
        </w:rPr>
        <w:t xml:space="preserve">Reference</w:t>
      </w:r>
    </w:p>
    <w:p>
      <w:pPr>
        <w:spacing w:after="160" w:line="276"/>
      </w:pPr>
      <w:r>
        <w:rPr>
          <w:i/>
          <w:iCs/>
          <w:sz w:val="20"/>
          <w:szCs w:val="20"/>
        </w:rPr>
        <w:t xml:space="preserve">ProPublica investigation into the COMPAS recidivism algorithm (Angwin, Larson, Mattu, and Kirchner, "Machine Bias," 2016) — widely cited in AI ethics literature as a foundational case study on algorithmic bias in criminal justice.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2026-09-10T06:06:53.141Z</dcterms:created>
  <dcterms:modified xsi:type="dcterms:W3CDTF">2026-09-10T06:06:53.152Z</dcterms:modified>
</cp:coreProperties>
</file>

<file path=docProps/custom.xml><?xml version="1.0" encoding="utf-8"?>
<Properties xmlns="http://schemas.openxmlformats.org/officeDocument/2006/custom-properties" xmlns:vt="http://schemas.openxmlformats.org/officeDocument/2006/docPropsVTypes"/>
</file>