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5E"/>
          <w:sz w:val="44"/>
        </w:rPr>
        <w:t>Simulation-Based Robustness Analysis of Dynamic Occupancy Models</w:t>
      </w:r>
    </w:p>
    <w:p>
      <w:pPr>
        <w:jc w:val="center"/>
      </w:pPr>
      <w:r>
        <w:rPr>
          <w:i/>
          <w:color w:val="555555"/>
          <w:sz w:val="28"/>
        </w:rPr>
        <w:t>Supplementary Analysis for Iberian Steppe Bird Study</w:t>
      </w:r>
    </w:p>
    <w:p>
      <w:pPr>
        <w:jc w:val="center"/>
      </w:pPr>
      <w:r>
        <w:rPr>
          <w:color w:val="888888"/>
          <w:sz w:val="20"/>
        </w:rPr>
        <w:t>G. Fandos et al. | March 2026</w:t>
      </w:r>
    </w:p>
    <w:p/>
    <w:p>
      <w:pPr>
        <w:pStyle w:val="Heading1"/>
      </w:pPr>
      <w:r>
        <w:t>1. Objective</w:t>
      </w:r>
    </w:p>
    <w:p>
      <w:r>
        <w:t>This analysis addresses a fundamental question for the interpretation of our empirical results: could the dynamic occupancy framework (colext) artefactually produce near-zero colonisation estimates under the sampling design, effort heterogeneity, and detection rates characteristic of our study? If so, the observed demographic trap could be a statistical artefact rather than a genuine ecological pattern. We use simulation to demonstrate that colext correctly recovers colonisation rates across the full range of scenarios relevant to our conclusions.</w:t>
      </w:r>
    </w:p>
    <w:p>
      <w:pPr>
        <w:pStyle w:val="Heading1"/>
      </w:pPr>
      <w:r>
        <w:t>2. Methods</w:t>
      </w:r>
    </w:p>
    <w:p>
      <w:pPr>
        <w:pStyle w:val="Heading2"/>
      </w:pPr>
      <w:r>
        <w:t>2.1 Study design</w:t>
      </w:r>
    </w:p>
    <w:p>
      <w:r>
        <w:t>We extracted empirical parameter estimates (initial occupancy ψ₁, colonisation γ, extinction ε, detection p) from the fitted intercept values of the species-specific dynamic occupancy models for four Iberian steppe birds: Otis tarda (N = 3,746 sites), Pterocles alchata (N = 4,131), Pterocles orientalis (N = 4,131), and Tetrax tetrax (N = 3,746). Each species was monitored over 7 years with up to 10 visits per year. The exact NA structure of the empirical detection histories was preserved in all simulations, ensuring that effort heterogeneity faithfully reflects the real sampling design.</w:t>
      </w:r>
    </w:p>
    <w:p>
      <w:pPr>
        <w:pStyle w:val="Heading2"/>
      </w:pPr>
      <w:r>
        <w:t>2.2 Simulation scenarios</w:t>
      </w:r>
    </w:p>
    <w:p>
      <w:r>
        <w:t>For each species, we defined five colonisation scenarios while holding extinction, initial occupancy, and detection at their empirical values: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Scenario</w:t>
            </w:r>
          </w:p>
        </w:tc>
        <w:tc>
          <w:tcPr>
            <w:tcW w:type="dxa" w:w="3135"/>
          </w:tcPr>
          <w:p>
            <w:r>
              <w:rPr>
                <w:b/>
              </w:rPr>
              <w:t>Colonisation rate (γ)</w:t>
            </w:r>
          </w:p>
        </w:tc>
        <w:tc>
          <w:tcPr>
            <w:tcW w:type="dxa" w:w="3135"/>
          </w:tcPr>
          <w:p>
            <w:r>
              <w:rPr>
                <w:b/>
              </w:rPr>
              <w:t>Rationale</w:t>
            </w:r>
          </w:p>
        </w:tc>
      </w:tr>
      <w:tr>
        <w:tc>
          <w:tcPr>
            <w:tcW w:type="dxa" w:w="3135"/>
          </w:tcPr>
          <w:p>
            <w:r>
              <w:t>A: Empirical</w:t>
            </w:r>
          </w:p>
        </w:tc>
        <w:tc>
          <w:tcPr>
            <w:tcW w:type="dxa" w:w="3135"/>
          </w:tcPr>
          <w:p>
            <w:r>
              <w:t>Empirical γ estimate</w:t>
            </w:r>
          </w:p>
        </w:tc>
        <w:tc>
          <w:tcPr>
            <w:tcW w:type="dxa" w:w="3135"/>
          </w:tcPr>
          <w:p>
            <w:r>
              <w:t>Baseline; verify the model recovers the data-generating value</w:t>
            </w:r>
          </w:p>
        </w:tc>
      </w:tr>
      <w:tr>
        <w:tc>
          <w:tcPr>
            <w:tcW w:type="dxa" w:w="3135"/>
          </w:tcPr>
          <w:p>
            <w:r>
              <w:t>B: 5× empirical</w:t>
            </w:r>
          </w:p>
        </w:tc>
        <w:tc>
          <w:tcPr>
            <w:tcW w:type="dxa" w:w="3135"/>
          </w:tcPr>
          <w:p>
            <w:r>
              <w:t>5 × empirical γ</w:t>
            </w:r>
          </w:p>
        </w:tc>
        <w:tc>
          <w:tcPr>
            <w:tcW w:type="dxa" w:w="3135"/>
          </w:tcPr>
          <w:p>
            <w:r>
              <w:t>Mild increase; still well below demographic sustainability</w:t>
            </w:r>
          </w:p>
        </w:tc>
      </w:tr>
      <w:tr>
        <w:tc>
          <w:tcPr>
            <w:tcW w:type="dxa" w:w="3135"/>
          </w:tcPr>
          <w:p>
            <w:r>
              <w:t>C: 10× empirical</w:t>
            </w:r>
          </w:p>
        </w:tc>
        <w:tc>
          <w:tcPr>
            <w:tcW w:type="dxa" w:w="3135"/>
          </w:tcPr>
          <w:p>
            <w:r>
              <w:t>10 × empirical γ</w:t>
            </w:r>
          </w:p>
        </w:tc>
        <w:tc>
          <w:tcPr>
            <w:tcW w:type="dxa" w:w="3135"/>
          </w:tcPr>
          <w:p>
            <w:r>
              <w:t>Order-of-magnitude increase</w:t>
            </w:r>
          </w:p>
        </w:tc>
      </w:tr>
      <w:tr>
        <w:tc>
          <w:tcPr>
            <w:tcW w:type="dxa" w:w="3135"/>
          </w:tcPr>
          <w:p>
            <w:r>
              <w:t>D: ε/γ = 10</w:t>
            </w:r>
          </w:p>
        </w:tc>
        <w:tc>
          <w:tcPr>
            <w:tcW w:type="dxa" w:w="3135"/>
          </w:tcPr>
          <w:p>
            <w:r>
              <w:t>γ = ε/10</w:t>
            </w:r>
          </w:p>
        </w:tc>
        <w:tc>
          <w:tcPr>
            <w:tcW w:type="dxa" w:w="3135"/>
          </w:tcPr>
          <w:p>
            <w:r>
              <w:t>Demographically recoverable system (mild decline, not trapped)</w:t>
            </w:r>
          </w:p>
        </w:tc>
      </w:tr>
      <w:tr>
        <w:tc>
          <w:tcPr>
            <w:tcW w:type="dxa" w:w="3135"/>
          </w:tcPr>
          <w:p>
            <w:r>
              <w:t>E: ψ* = 10%</w:t>
            </w:r>
          </w:p>
        </w:tc>
        <w:tc>
          <w:tcPr>
            <w:tcW w:type="dxa" w:w="3135"/>
          </w:tcPr>
          <w:p>
            <w:r>
              <w:t>γ = ε/9</w:t>
            </w:r>
          </w:p>
        </w:tc>
        <w:tc>
          <w:tcPr>
            <w:tcW w:type="dxa" w:w="3135"/>
          </w:tcPr>
          <w:p>
            <w:r>
              <w:t>Equilibrium occupancy of 10% (ecologically viable population)</w:t>
            </w:r>
          </w:p>
        </w:tc>
      </w:tr>
    </w:tbl>
    <w:p/>
    <w:p>
      <w:pPr>
        <w:pStyle w:val="Heading2"/>
      </w:pPr>
      <w:r>
        <w:t>2.3 Data generation and estimation</w:t>
      </w:r>
    </w:p>
    <w:p>
      <w:r>
        <w:t>Each simulated dataset was generated from a stochastic hidden Markov process: occupancy state z[i,1] ~ Bernoulli(ψ₁); z[i,t] ~ Bernoulli(z[i,t−1](1−ε) + (1−z[i,t−1])γ); y[i,j,t] ~ Bernoulli(z[i,t] × p), with NAs injected according to the empirical effort pattern. Each dataset was refitted using an intercept-only colext model (colext(~1, ~1, ~1, ~1)) in the unmarked R package. We ran 200 simulations per species-scenario combination (4,000 fits total), parallelised across 7 CPU cores. The random seed was fixed at 2024 for full reproducibility.</w:t>
      </w:r>
    </w:p>
    <w:p>
      <w:pPr>
        <w:pStyle w:val="Heading2"/>
      </w:pPr>
      <w:r>
        <w:t>2.4 Performance metrics</w:t>
      </w:r>
    </w:p>
    <w:p>
      <w:r>
        <w:t>For each simulation replicate, we computed: (i) median bias and relative bias in γ; (ii) 95% confidence interval coverage; (iii) the estimated ε/γ ratio; and (iv) regime classification based on the estimated ratio: growth (ε/γ &lt; 1), mild decline (1–10), asymmetric decline (10–100), or demographic trap (&gt; 100). The false trap rate—the proportion of simulations where a system with moderate or high colonisation is incorrectly classified as trapped—is the key metric for evaluating whether the estimator can artefactually produce our empirical results.</w:t>
      </w:r>
    </w:p>
    <w:p>
      <w:pPr>
        <w:pStyle w:val="Heading1"/>
      </w:pPr>
      <w:r>
        <w:t>3. Results</w:t>
      </w:r>
    </w:p>
    <w:p>
      <w:pPr>
        <w:pStyle w:val="Heading2"/>
      </w:pPr>
      <w:r>
        <w:t>3.1 Convergence</w:t>
      </w:r>
    </w:p>
    <w:p>
      <w:r>
        <w:t>All 4,000 model fits converged (100% across all 20 species × scenario combinations). Total computation time was 135.4 minutes using 7 parallel workers on an Apple M1 processor.</w:t>
      </w:r>
    </w:p>
    <w:p>
      <w:pPr>
        <w:pStyle w:val="Heading2"/>
      </w:pPr>
      <w:r>
        <w:t>3.2 Parameter recovery</w:t>
      </w:r>
    </w:p>
    <w:p>
      <w:r>
        <w:t>Table 1 presents the key results for each species-scenario combination. The critical comparison is between Scenarios D and E (demographically recoverable systems) and the empirical Scenario A.</w:t>
      </w:r>
    </w:p>
    <w:p/>
    <w:p>
      <w:pPr>
        <w:jc w:val="center"/>
      </w:pPr>
      <w:r>
        <w:rPr>
          <w:b/>
        </w:rPr>
        <w:t xml:space="preserve">Table 1. </w:t>
      </w:r>
      <w:r>
        <w:t>Summary of simulation results across 200 replicates per scenario. Relative bias and coverage refer to the colonisation rate (γ). False trap rate is the percentage of simulations classified as ε/γ &gt; 100.</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Species</w:t>
            </w:r>
          </w:p>
        </w:tc>
        <w:tc>
          <w:tcPr>
            <w:tcW w:type="dxa" w:w="1344"/>
          </w:tcPr>
          <w:p>
            <w:r>
              <w:rPr>
                <w:b/>
                <w:sz w:val="18"/>
              </w:rPr>
              <w:t>Scenario</w:t>
            </w:r>
          </w:p>
        </w:tc>
        <w:tc>
          <w:tcPr>
            <w:tcW w:type="dxa" w:w="1344"/>
          </w:tcPr>
          <w:p>
            <w:r>
              <w:rPr>
                <w:b/>
                <w:sz w:val="18"/>
              </w:rPr>
              <w:t>γ_true</w:t>
            </w:r>
          </w:p>
        </w:tc>
        <w:tc>
          <w:tcPr>
            <w:tcW w:type="dxa" w:w="1344"/>
          </w:tcPr>
          <w:p>
            <w:r>
              <w:rPr>
                <w:b/>
                <w:sz w:val="18"/>
              </w:rPr>
              <w:t>γ_hat (median)</w:t>
            </w:r>
          </w:p>
        </w:tc>
        <w:tc>
          <w:tcPr>
            <w:tcW w:type="dxa" w:w="1344"/>
          </w:tcPr>
          <w:p>
            <w:r>
              <w:rPr>
                <w:b/>
                <w:sz w:val="18"/>
              </w:rPr>
              <w:t>Rel. bias (%)</w:t>
            </w:r>
          </w:p>
        </w:tc>
        <w:tc>
          <w:tcPr>
            <w:tcW w:type="dxa" w:w="1344"/>
          </w:tcPr>
          <w:p>
            <w:r>
              <w:rPr>
                <w:b/>
                <w:sz w:val="18"/>
              </w:rPr>
              <w:t>95% CI coverage</w:t>
            </w:r>
          </w:p>
        </w:tc>
        <w:tc>
          <w:tcPr>
            <w:tcW w:type="dxa" w:w="1344"/>
          </w:tcPr>
          <w:p>
            <w:r>
              <w:rPr>
                <w:b/>
                <w:sz w:val="18"/>
              </w:rPr>
              <w:t>False trap (%)</w:t>
            </w:r>
          </w:p>
        </w:tc>
      </w:tr>
      <w:tr>
        <w:tc>
          <w:tcPr>
            <w:tcW w:type="dxa" w:w="1344"/>
          </w:tcPr>
          <w:p>
            <w:r>
              <w:rPr>
                <w:sz w:val="18"/>
              </w:rPr>
              <w:t>O. tarda</w:t>
            </w:r>
          </w:p>
        </w:tc>
        <w:tc>
          <w:tcPr>
            <w:tcW w:type="dxa" w:w="1344"/>
          </w:tcPr>
          <w:p>
            <w:r>
              <w:rPr>
                <w:sz w:val="18"/>
              </w:rPr>
              <w:t>A</w:t>
            </w:r>
          </w:p>
        </w:tc>
        <w:tc>
          <w:tcPr>
            <w:tcW w:type="dxa" w:w="1344"/>
          </w:tcPr>
          <w:p>
            <w:r>
              <w:rPr>
                <w:sz w:val="18"/>
              </w:rPr>
              <w:t>4.55e-05</w:t>
            </w:r>
          </w:p>
        </w:tc>
        <w:tc>
          <w:tcPr>
            <w:tcW w:type="dxa" w:w="1344"/>
          </w:tcPr>
          <w:p>
            <w:r>
              <w:rPr>
                <w:sz w:val="18"/>
              </w:rPr>
              <w:t>9.14e-150</w:t>
            </w:r>
          </w:p>
        </w:tc>
        <w:tc>
          <w:tcPr>
            <w:tcW w:type="dxa" w:w="1344"/>
          </w:tcPr>
          <w:p>
            <w:r>
              <w:rPr>
                <w:sz w:val="18"/>
              </w:rPr>
              <w:t>-100.0</w:t>
            </w:r>
          </w:p>
        </w:tc>
        <w:tc>
          <w:tcPr>
            <w:tcW w:type="dxa" w:w="1344"/>
          </w:tcPr>
          <w:p>
            <w:r>
              <w:rPr>
                <w:sz w:val="18"/>
              </w:rPr>
              <w:t>1.5</w:t>
            </w:r>
          </w:p>
        </w:tc>
        <w:tc>
          <w:tcPr>
            <w:tcW w:type="dxa" w:w="1344"/>
          </w:tcPr>
          <w:p>
            <w:r>
              <w:rPr>
                <w:sz w:val="18"/>
              </w:rPr>
              <w:t>76.0</w:t>
            </w:r>
          </w:p>
        </w:tc>
      </w:tr>
      <w:tr>
        <w:tc>
          <w:tcPr>
            <w:tcW w:type="dxa" w:w="1344"/>
          </w:tcPr>
          <w:p>
            <w:r>
              <w:rPr>
                <w:sz w:val="18"/>
              </w:rPr>
              <w:t>O. tarda</w:t>
            </w:r>
          </w:p>
        </w:tc>
        <w:tc>
          <w:tcPr>
            <w:tcW w:type="dxa" w:w="1344"/>
          </w:tcPr>
          <w:p>
            <w:r>
              <w:rPr>
                <w:sz w:val="18"/>
              </w:rPr>
              <w:t>B</w:t>
            </w:r>
          </w:p>
        </w:tc>
        <w:tc>
          <w:tcPr>
            <w:tcW w:type="dxa" w:w="1344"/>
          </w:tcPr>
          <w:p>
            <w:r>
              <w:rPr>
                <w:sz w:val="18"/>
              </w:rPr>
              <w:t>2.27e-04</w:t>
            </w:r>
          </w:p>
        </w:tc>
        <w:tc>
          <w:tcPr>
            <w:tcW w:type="dxa" w:w="1344"/>
          </w:tcPr>
          <w:p>
            <w:r>
              <w:rPr>
                <w:sz w:val="18"/>
              </w:rPr>
              <w:t>2.56e-04</w:t>
            </w:r>
          </w:p>
        </w:tc>
        <w:tc>
          <w:tcPr>
            <w:tcW w:type="dxa" w:w="1344"/>
          </w:tcPr>
          <w:p>
            <w:r>
              <w:rPr>
                <w:sz w:val="18"/>
              </w:rPr>
              <w:t>12.4</w:t>
            </w:r>
          </w:p>
        </w:tc>
        <w:tc>
          <w:tcPr>
            <w:tcW w:type="dxa" w:w="1344"/>
          </w:tcPr>
          <w:p>
            <w:r>
              <w:rPr>
                <w:sz w:val="18"/>
              </w:rPr>
              <w:t>10.0</w:t>
            </w:r>
          </w:p>
        </w:tc>
        <w:tc>
          <w:tcPr>
            <w:tcW w:type="dxa" w:w="1344"/>
          </w:tcPr>
          <w:p>
            <w:r>
              <w:rPr>
                <w:sz w:val="18"/>
              </w:rPr>
              <w:t>60.0</w:t>
            </w:r>
          </w:p>
        </w:tc>
      </w:tr>
      <w:tr>
        <w:tc>
          <w:tcPr>
            <w:tcW w:type="dxa" w:w="1344"/>
          </w:tcPr>
          <w:p>
            <w:r>
              <w:rPr>
                <w:sz w:val="18"/>
              </w:rPr>
              <w:t>O. tarda</w:t>
            </w:r>
          </w:p>
        </w:tc>
        <w:tc>
          <w:tcPr>
            <w:tcW w:type="dxa" w:w="1344"/>
          </w:tcPr>
          <w:p>
            <w:r>
              <w:rPr>
                <w:sz w:val="18"/>
              </w:rPr>
              <w:t>C</w:t>
            </w:r>
          </w:p>
        </w:tc>
        <w:tc>
          <w:tcPr>
            <w:tcW w:type="dxa" w:w="1344"/>
          </w:tcPr>
          <w:p>
            <w:r>
              <w:rPr>
                <w:sz w:val="18"/>
              </w:rPr>
              <w:t>4.55e-04</w:t>
            </w:r>
          </w:p>
        </w:tc>
        <w:tc>
          <w:tcPr>
            <w:tcW w:type="dxa" w:w="1344"/>
          </w:tcPr>
          <w:p>
            <w:r>
              <w:rPr>
                <w:sz w:val="18"/>
              </w:rPr>
              <w:t>5.54e-04</w:t>
            </w:r>
          </w:p>
        </w:tc>
        <w:tc>
          <w:tcPr>
            <w:tcW w:type="dxa" w:w="1344"/>
          </w:tcPr>
          <w:p>
            <w:r>
              <w:rPr>
                <w:sz w:val="18"/>
              </w:rPr>
              <w:t>21.8</w:t>
            </w:r>
          </w:p>
        </w:tc>
        <w:tc>
          <w:tcPr>
            <w:tcW w:type="dxa" w:w="1344"/>
          </w:tcPr>
          <w:p>
            <w:r>
              <w:rPr>
                <w:sz w:val="18"/>
              </w:rPr>
              <w:t>18.5</w:t>
            </w:r>
          </w:p>
        </w:tc>
        <w:tc>
          <w:tcPr>
            <w:tcW w:type="dxa" w:w="1344"/>
          </w:tcPr>
          <w:p>
            <w:r>
              <w:rPr>
                <w:sz w:val="18"/>
              </w:rPr>
              <w:t>51.0</w:t>
            </w:r>
          </w:p>
        </w:tc>
      </w:tr>
      <w:tr>
        <w:tc>
          <w:tcPr>
            <w:tcW w:type="dxa" w:w="1344"/>
          </w:tcPr>
          <w:p>
            <w:r>
              <w:rPr>
                <w:sz w:val="18"/>
              </w:rPr>
              <w:t>O. tarda</w:t>
            </w:r>
          </w:p>
        </w:tc>
        <w:tc>
          <w:tcPr>
            <w:tcW w:type="dxa" w:w="1344"/>
          </w:tcPr>
          <w:p>
            <w:r>
              <w:rPr>
                <w:sz w:val="18"/>
              </w:rPr>
              <w:t>D</w:t>
            </w:r>
          </w:p>
        </w:tc>
        <w:tc>
          <w:tcPr>
            <w:tcW w:type="dxa" w:w="1344"/>
          </w:tcPr>
          <w:p>
            <w:r>
              <w:rPr>
                <w:sz w:val="18"/>
              </w:rPr>
              <w:t>0.0222</w:t>
            </w:r>
          </w:p>
        </w:tc>
        <w:tc>
          <w:tcPr>
            <w:tcW w:type="dxa" w:w="1344"/>
          </w:tcPr>
          <w:p>
            <w:r>
              <w:rPr>
                <w:sz w:val="18"/>
              </w:rPr>
              <w:t>0.0219</w:t>
            </w:r>
          </w:p>
        </w:tc>
        <w:tc>
          <w:tcPr>
            <w:tcW w:type="dxa" w:w="1344"/>
          </w:tcPr>
          <w:p>
            <w:r>
              <w:rPr>
                <w:sz w:val="18"/>
              </w:rPr>
              <w:t>-1.7</w:t>
            </w:r>
          </w:p>
        </w:tc>
        <w:tc>
          <w:tcPr>
            <w:tcW w:type="dxa" w:w="1344"/>
          </w:tcPr>
          <w:p>
            <w:r>
              <w:rPr>
                <w:sz w:val="18"/>
              </w:rPr>
              <w:t>69.0</w:t>
            </w:r>
          </w:p>
        </w:tc>
        <w:tc>
          <w:tcPr>
            <w:tcW w:type="dxa" w:w="1344"/>
          </w:tcPr>
          <w:p>
            <w:r>
              <w:rPr>
                <w:sz w:val="18"/>
              </w:rPr>
              <w:t>0.0</w:t>
            </w:r>
          </w:p>
        </w:tc>
      </w:tr>
      <w:tr>
        <w:tc>
          <w:tcPr>
            <w:tcW w:type="dxa" w:w="1344"/>
          </w:tcPr>
          <w:p>
            <w:r>
              <w:rPr>
                <w:sz w:val="18"/>
              </w:rPr>
              <w:t>O. tarda</w:t>
            </w:r>
          </w:p>
        </w:tc>
        <w:tc>
          <w:tcPr>
            <w:tcW w:type="dxa" w:w="1344"/>
          </w:tcPr>
          <w:p>
            <w:r>
              <w:rPr>
                <w:sz w:val="18"/>
              </w:rPr>
              <w:t>E</w:t>
            </w:r>
          </w:p>
        </w:tc>
        <w:tc>
          <w:tcPr>
            <w:tcW w:type="dxa" w:w="1344"/>
          </w:tcPr>
          <w:p>
            <w:r>
              <w:rPr>
                <w:sz w:val="18"/>
              </w:rPr>
              <w:t>0.0247</w:t>
            </w:r>
          </w:p>
        </w:tc>
        <w:tc>
          <w:tcPr>
            <w:tcW w:type="dxa" w:w="1344"/>
          </w:tcPr>
          <w:p>
            <w:r>
              <w:rPr>
                <w:sz w:val="18"/>
              </w:rPr>
              <w:t>0.0246</w:t>
            </w:r>
          </w:p>
        </w:tc>
        <w:tc>
          <w:tcPr>
            <w:tcW w:type="dxa" w:w="1344"/>
          </w:tcPr>
          <w:p>
            <w:r>
              <w:rPr>
                <w:sz w:val="18"/>
              </w:rPr>
              <w:t>-0.4</w:t>
            </w:r>
          </w:p>
        </w:tc>
        <w:tc>
          <w:tcPr>
            <w:tcW w:type="dxa" w:w="1344"/>
          </w:tcPr>
          <w:p>
            <w:r>
              <w:rPr>
                <w:sz w:val="18"/>
              </w:rPr>
              <w:t>94.0</w:t>
            </w:r>
          </w:p>
        </w:tc>
        <w:tc>
          <w:tcPr>
            <w:tcW w:type="dxa" w:w="1344"/>
          </w:tcPr>
          <w:p>
            <w:r>
              <w:rPr>
                <w:sz w:val="18"/>
              </w:rPr>
              <w:t>0.0</w:t>
            </w:r>
          </w:p>
        </w:tc>
      </w:tr>
      <w:tr>
        <w:tc>
          <w:tcPr>
            <w:tcW w:type="dxa" w:w="1344"/>
          </w:tcPr>
          <w:p>
            <w:r>
              <w:rPr>
                <w:sz w:val="18"/>
              </w:rPr>
              <w:t>P. alchata</w:t>
            </w:r>
          </w:p>
        </w:tc>
        <w:tc>
          <w:tcPr>
            <w:tcW w:type="dxa" w:w="1344"/>
          </w:tcPr>
          <w:p>
            <w:r>
              <w:rPr>
                <w:sz w:val="18"/>
              </w:rPr>
              <w:t>A</w:t>
            </w:r>
          </w:p>
        </w:tc>
        <w:tc>
          <w:tcPr>
            <w:tcW w:type="dxa" w:w="1344"/>
          </w:tcPr>
          <w:p>
            <w:r>
              <w:rPr>
                <w:sz w:val="18"/>
              </w:rPr>
              <w:t>0.0014</w:t>
            </w:r>
          </w:p>
        </w:tc>
        <w:tc>
          <w:tcPr>
            <w:tcW w:type="dxa" w:w="1344"/>
          </w:tcPr>
          <w:p>
            <w:r>
              <w:rPr>
                <w:sz w:val="18"/>
              </w:rPr>
              <w:t>9.68e-04</w:t>
            </w:r>
          </w:p>
        </w:tc>
        <w:tc>
          <w:tcPr>
            <w:tcW w:type="dxa" w:w="1344"/>
          </w:tcPr>
          <w:p>
            <w:r>
              <w:rPr>
                <w:sz w:val="18"/>
              </w:rPr>
              <w:t>-29.4</w:t>
            </w:r>
          </w:p>
        </w:tc>
        <w:tc>
          <w:tcPr>
            <w:tcW w:type="dxa" w:w="1344"/>
          </w:tcPr>
          <w:p>
            <w:r>
              <w:rPr>
                <w:sz w:val="18"/>
              </w:rPr>
              <w:t>51.0</w:t>
            </w:r>
          </w:p>
        </w:tc>
        <w:tc>
          <w:tcPr>
            <w:tcW w:type="dxa" w:w="1344"/>
          </w:tcPr>
          <w:p>
            <w:r>
              <w:rPr>
                <w:sz w:val="18"/>
              </w:rPr>
              <w:t>69.0</w:t>
            </w:r>
          </w:p>
        </w:tc>
      </w:tr>
      <w:tr>
        <w:tc>
          <w:tcPr>
            <w:tcW w:type="dxa" w:w="1344"/>
          </w:tcPr>
          <w:p>
            <w:r>
              <w:rPr>
                <w:sz w:val="18"/>
              </w:rPr>
              <w:t>P. alchata</w:t>
            </w:r>
          </w:p>
        </w:tc>
        <w:tc>
          <w:tcPr>
            <w:tcW w:type="dxa" w:w="1344"/>
          </w:tcPr>
          <w:p>
            <w:r>
              <w:rPr>
                <w:sz w:val="18"/>
              </w:rPr>
              <w:t>B</w:t>
            </w:r>
          </w:p>
        </w:tc>
        <w:tc>
          <w:tcPr>
            <w:tcW w:type="dxa" w:w="1344"/>
          </w:tcPr>
          <w:p>
            <w:r>
              <w:rPr>
                <w:sz w:val="18"/>
              </w:rPr>
              <w:t>0.0069</w:t>
            </w:r>
          </w:p>
        </w:tc>
        <w:tc>
          <w:tcPr>
            <w:tcW w:type="dxa" w:w="1344"/>
          </w:tcPr>
          <w:p>
            <w:r>
              <w:rPr>
                <w:sz w:val="18"/>
              </w:rPr>
              <w:t>0.0060</w:t>
            </w:r>
          </w:p>
        </w:tc>
        <w:tc>
          <w:tcPr>
            <w:tcW w:type="dxa" w:w="1344"/>
          </w:tcPr>
          <w:p>
            <w:r>
              <w:rPr>
                <w:sz w:val="18"/>
              </w:rPr>
              <w:t>-12.2</w:t>
            </w:r>
          </w:p>
        </w:tc>
        <w:tc>
          <w:tcPr>
            <w:tcW w:type="dxa" w:w="1344"/>
          </w:tcPr>
          <w:p>
            <w:r>
              <w:rPr>
                <w:sz w:val="18"/>
              </w:rPr>
              <w:t>58.0</w:t>
            </w:r>
          </w:p>
        </w:tc>
        <w:tc>
          <w:tcPr>
            <w:tcW w:type="dxa" w:w="1344"/>
          </w:tcPr>
          <w:p>
            <w:r>
              <w:rPr>
                <w:sz w:val="18"/>
              </w:rPr>
              <w:t>5.5</w:t>
            </w:r>
          </w:p>
        </w:tc>
      </w:tr>
      <w:tr>
        <w:tc>
          <w:tcPr>
            <w:tcW w:type="dxa" w:w="1344"/>
          </w:tcPr>
          <w:p>
            <w:r>
              <w:rPr>
                <w:sz w:val="18"/>
              </w:rPr>
              <w:t>P. alchata</w:t>
            </w:r>
          </w:p>
        </w:tc>
        <w:tc>
          <w:tcPr>
            <w:tcW w:type="dxa" w:w="1344"/>
          </w:tcPr>
          <w:p>
            <w:r>
              <w:rPr>
                <w:sz w:val="18"/>
              </w:rPr>
              <w:t>C</w:t>
            </w:r>
          </w:p>
        </w:tc>
        <w:tc>
          <w:tcPr>
            <w:tcW w:type="dxa" w:w="1344"/>
          </w:tcPr>
          <w:p>
            <w:r>
              <w:rPr>
                <w:sz w:val="18"/>
              </w:rPr>
              <w:t>0.0137</w:t>
            </w:r>
          </w:p>
        </w:tc>
        <w:tc>
          <w:tcPr>
            <w:tcW w:type="dxa" w:w="1344"/>
          </w:tcPr>
          <w:p>
            <w:r>
              <w:rPr>
                <w:sz w:val="18"/>
              </w:rPr>
              <w:t>0.0123</w:t>
            </w:r>
          </w:p>
        </w:tc>
        <w:tc>
          <w:tcPr>
            <w:tcW w:type="dxa" w:w="1344"/>
          </w:tcPr>
          <w:p>
            <w:r>
              <w:rPr>
                <w:sz w:val="18"/>
              </w:rPr>
              <w:t>-10.4</w:t>
            </w:r>
          </w:p>
        </w:tc>
        <w:tc>
          <w:tcPr>
            <w:tcW w:type="dxa" w:w="1344"/>
          </w:tcPr>
          <w:p>
            <w:r>
              <w:rPr>
                <w:sz w:val="18"/>
              </w:rPr>
              <w:t>49.5</w:t>
            </w:r>
          </w:p>
        </w:tc>
        <w:tc>
          <w:tcPr>
            <w:tcW w:type="dxa" w:w="1344"/>
          </w:tcPr>
          <w:p>
            <w:r>
              <w:rPr>
                <w:sz w:val="18"/>
              </w:rPr>
              <w:t>1.5</w:t>
            </w:r>
          </w:p>
        </w:tc>
      </w:tr>
      <w:tr>
        <w:tc>
          <w:tcPr>
            <w:tcW w:type="dxa" w:w="1344"/>
          </w:tcPr>
          <w:p>
            <w:r>
              <w:rPr>
                <w:sz w:val="18"/>
              </w:rPr>
              <w:t>P. alchata</w:t>
            </w:r>
          </w:p>
        </w:tc>
        <w:tc>
          <w:tcPr>
            <w:tcW w:type="dxa" w:w="1344"/>
          </w:tcPr>
          <w:p>
            <w:r>
              <w:rPr>
                <w:sz w:val="18"/>
              </w:rPr>
              <w:t>D</w:t>
            </w:r>
          </w:p>
        </w:tc>
        <w:tc>
          <w:tcPr>
            <w:tcW w:type="dxa" w:w="1344"/>
          </w:tcPr>
          <w:p>
            <w:r>
              <w:rPr>
                <w:sz w:val="18"/>
              </w:rPr>
              <w:t>0.0489</w:t>
            </w:r>
          </w:p>
        </w:tc>
        <w:tc>
          <w:tcPr>
            <w:tcW w:type="dxa" w:w="1344"/>
          </w:tcPr>
          <w:p>
            <w:r>
              <w:rPr>
                <w:sz w:val="18"/>
              </w:rPr>
              <w:t>0.0489</w:t>
            </w:r>
          </w:p>
        </w:tc>
        <w:tc>
          <w:tcPr>
            <w:tcW w:type="dxa" w:w="1344"/>
          </w:tcPr>
          <w:p>
            <w:r>
              <w:rPr>
                <w:sz w:val="18"/>
              </w:rPr>
              <w:t>-0.2</w:t>
            </w:r>
          </w:p>
        </w:tc>
        <w:tc>
          <w:tcPr>
            <w:tcW w:type="dxa" w:w="1344"/>
          </w:tcPr>
          <w:p>
            <w:r>
              <w:rPr>
                <w:sz w:val="18"/>
              </w:rPr>
              <w:t>96.5</w:t>
            </w:r>
          </w:p>
        </w:tc>
        <w:tc>
          <w:tcPr>
            <w:tcW w:type="dxa" w:w="1344"/>
          </w:tcPr>
          <w:p>
            <w:r>
              <w:rPr>
                <w:sz w:val="18"/>
              </w:rPr>
              <w:t>0.0</w:t>
            </w:r>
          </w:p>
        </w:tc>
      </w:tr>
      <w:tr>
        <w:tc>
          <w:tcPr>
            <w:tcW w:type="dxa" w:w="1344"/>
          </w:tcPr>
          <w:p>
            <w:r>
              <w:rPr>
                <w:sz w:val="18"/>
              </w:rPr>
              <w:t>P. alchata</w:t>
            </w:r>
          </w:p>
        </w:tc>
        <w:tc>
          <w:tcPr>
            <w:tcW w:type="dxa" w:w="1344"/>
          </w:tcPr>
          <w:p>
            <w:r>
              <w:rPr>
                <w:sz w:val="18"/>
              </w:rPr>
              <w:t>E</w:t>
            </w:r>
          </w:p>
        </w:tc>
        <w:tc>
          <w:tcPr>
            <w:tcW w:type="dxa" w:w="1344"/>
          </w:tcPr>
          <w:p>
            <w:r>
              <w:rPr>
                <w:sz w:val="18"/>
              </w:rPr>
              <w:t>0.0544</w:t>
            </w:r>
          </w:p>
        </w:tc>
        <w:tc>
          <w:tcPr>
            <w:tcW w:type="dxa" w:w="1344"/>
          </w:tcPr>
          <w:p>
            <w:r>
              <w:rPr>
                <w:sz w:val="18"/>
              </w:rPr>
              <w:t>0.0546</w:t>
            </w:r>
          </w:p>
        </w:tc>
        <w:tc>
          <w:tcPr>
            <w:tcW w:type="dxa" w:w="1344"/>
          </w:tcPr>
          <w:p>
            <w:r>
              <w:rPr>
                <w:sz w:val="18"/>
              </w:rPr>
              <w:t>0.3</w:t>
            </w:r>
          </w:p>
        </w:tc>
        <w:tc>
          <w:tcPr>
            <w:tcW w:type="dxa" w:w="1344"/>
          </w:tcPr>
          <w:p>
            <w:r>
              <w:rPr>
                <w:sz w:val="18"/>
              </w:rPr>
              <w:t>93.5</w:t>
            </w:r>
          </w:p>
        </w:tc>
        <w:tc>
          <w:tcPr>
            <w:tcW w:type="dxa" w:w="1344"/>
          </w:tcPr>
          <w:p>
            <w:r>
              <w:rPr>
                <w:sz w:val="18"/>
              </w:rPr>
              <w:t>0.0</w:t>
            </w:r>
          </w:p>
        </w:tc>
      </w:tr>
      <w:tr>
        <w:tc>
          <w:tcPr>
            <w:tcW w:type="dxa" w:w="1344"/>
          </w:tcPr>
          <w:p>
            <w:r>
              <w:rPr>
                <w:sz w:val="18"/>
              </w:rPr>
              <w:t>P. orientalis</w:t>
            </w:r>
          </w:p>
        </w:tc>
        <w:tc>
          <w:tcPr>
            <w:tcW w:type="dxa" w:w="1344"/>
          </w:tcPr>
          <w:p>
            <w:r>
              <w:rPr>
                <w:sz w:val="18"/>
              </w:rPr>
              <w:t>A</w:t>
            </w:r>
          </w:p>
        </w:tc>
        <w:tc>
          <w:tcPr>
            <w:tcW w:type="dxa" w:w="1344"/>
          </w:tcPr>
          <w:p>
            <w:r>
              <w:rPr>
                <w:sz w:val="18"/>
              </w:rPr>
              <w:t>3.82e-07</w:t>
            </w:r>
          </w:p>
        </w:tc>
        <w:tc>
          <w:tcPr>
            <w:tcW w:type="dxa" w:w="1344"/>
          </w:tcPr>
          <w:p>
            <w:r>
              <w:rPr>
                <w:sz w:val="18"/>
              </w:rPr>
              <w:t>5.01e-10</w:t>
            </w:r>
          </w:p>
        </w:tc>
        <w:tc>
          <w:tcPr>
            <w:tcW w:type="dxa" w:w="1344"/>
          </w:tcPr>
          <w:p>
            <w:r>
              <w:rPr>
                <w:sz w:val="18"/>
              </w:rPr>
              <w:t>-99.9</w:t>
            </w:r>
          </w:p>
        </w:tc>
        <w:tc>
          <w:tcPr>
            <w:tcW w:type="dxa" w:w="1344"/>
          </w:tcPr>
          <w:p>
            <w:r>
              <w:rPr>
                <w:sz w:val="18"/>
              </w:rPr>
              <w:t>31.0</w:t>
            </w:r>
          </w:p>
        </w:tc>
        <w:tc>
          <w:tcPr>
            <w:tcW w:type="dxa" w:w="1344"/>
          </w:tcPr>
          <w:p>
            <w:r>
              <w:rPr>
                <w:sz w:val="18"/>
              </w:rPr>
              <w:t>56.5</w:t>
            </w:r>
          </w:p>
        </w:tc>
      </w:tr>
      <w:tr>
        <w:tc>
          <w:tcPr>
            <w:tcW w:type="dxa" w:w="1344"/>
          </w:tcPr>
          <w:p>
            <w:r>
              <w:rPr>
                <w:sz w:val="18"/>
              </w:rPr>
              <w:t>P. orientalis</w:t>
            </w:r>
          </w:p>
        </w:tc>
        <w:tc>
          <w:tcPr>
            <w:tcW w:type="dxa" w:w="1344"/>
          </w:tcPr>
          <w:p>
            <w:r>
              <w:rPr>
                <w:sz w:val="18"/>
              </w:rPr>
              <w:t>B</w:t>
            </w:r>
          </w:p>
        </w:tc>
        <w:tc>
          <w:tcPr>
            <w:tcW w:type="dxa" w:w="1344"/>
          </w:tcPr>
          <w:p>
            <w:r>
              <w:rPr>
                <w:sz w:val="18"/>
              </w:rPr>
              <w:t>1.91e-06</w:t>
            </w:r>
          </w:p>
        </w:tc>
        <w:tc>
          <w:tcPr>
            <w:tcW w:type="dxa" w:w="1344"/>
          </w:tcPr>
          <w:p>
            <w:r>
              <w:rPr>
                <w:sz w:val="18"/>
              </w:rPr>
              <w:t>5.11e-10</w:t>
            </w:r>
          </w:p>
        </w:tc>
        <w:tc>
          <w:tcPr>
            <w:tcW w:type="dxa" w:w="1344"/>
          </w:tcPr>
          <w:p>
            <w:r>
              <w:rPr>
                <w:sz w:val="18"/>
              </w:rPr>
              <w:t>-100.0</w:t>
            </w:r>
          </w:p>
        </w:tc>
        <w:tc>
          <w:tcPr>
            <w:tcW w:type="dxa" w:w="1344"/>
          </w:tcPr>
          <w:p>
            <w:r>
              <w:rPr>
                <w:sz w:val="18"/>
              </w:rPr>
              <w:t>31.0</w:t>
            </w:r>
          </w:p>
        </w:tc>
        <w:tc>
          <w:tcPr>
            <w:tcW w:type="dxa" w:w="1344"/>
          </w:tcPr>
          <w:p>
            <w:r>
              <w:rPr>
                <w:sz w:val="18"/>
              </w:rPr>
              <w:t>59.5</w:t>
            </w:r>
          </w:p>
        </w:tc>
      </w:tr>
      <w:tr>
        <w:tc>
          <w:tcPr>
            <w:tcW w:type="dxa" w:w="1344"/>
          </w:tcPr>
          <w:p>
            <w:r>
              <w:rPr>
                <w:sz w:val="18"/>
              </w:rPr>
              <w:t>P. orientalis</w:t>
            </w:r>
          </w:p>
        </w:tc>
        <w:tc>
          <w:tcPr>
            <w:tcW w:type="dxa" w:w="1344"/>
          </w:tcPr>
          <w:p>
            <w:r>
              <w:rPr>
                <w:sz w:val="18"/>
              </w:rPr>
              <w:t>C</w:t>
            </w:r>
          </w:p>
        </w:tc>
        <w:tc>
          <w:tcPr>
            <w:tcW w:type="dxa" w:w="1344"/>
          </w:tcPr>
          <w:p>
            <w:r>
              <w:rPr>
                <w:sz w:val="18"/>
              </w:rPr>
              <w:t>3.82e-06</w:t>
            </w:r>
          </w:p>
        </w:tc>
        <w:tc>
          <w:tcPr>
            <w:tcW w:type="dxa" w:w="1344"/>
          </w:tcPr>
          <w:p>
            <w:r>
              <w:rPr>
                <w:sz w:val="18"/>
              </w:rPr>
              <w:t>5.12e-10</w:t>
            </w:r>
          </w:p>
        </w:tc>
        <w:tc>
          <w:tcPr>
            <w:tcW w:type="dxa" w:w="1344"/>
          </w:tcPr>
          <w:p>
            <w:r>
              <w:rPr>
                <w:sz w:val="18"/>
              </w:rPr>
              <w:t>-100.0</w:t>
            </w:r>
          </w:p>
        </w:tc>
        <w:tc>
          <w:tcPr>
            <w:tcW w:type="dxa" w:w="1344"/>
          </w:tcPr>
          <w:p>
            <w:r>
              <w:rPr>
                <w:sz w:val="18"/>
              </w:rPr>
              <w:t>27.0</w:t>
            </w:r>
          </w:p>
        </w:tc>
        <w:tc>
          <w:tcPr>
            <w:tcW w:type="dxa" w:w="1344"/>
          </w:tcPr>
          <w:p>
            <w:r>
              <w:rPr>
                <w:sz w:val="18"/>
              </w:rPr>
              <w:t>57.5</w:t>
            </w:r>
          </w:p>
        </w:tc>
      </w:tr>
      <w:tr>
        <w:tc>
          <w:tcPr>
            <w:tcW w:type="dxa" w:w="1344"/>
          </w:tcPr>
          <w:p>
            <w:r>
              <w:rPr>
                <w:sz w:val="18"/>
              </w:rPr>
              <w:t>P. orientalis</w:t>
            </w:r>
          </w:p>
        </w:tc>
        <w:tc>
          <w:tcPr>
            <w:tcW w:type="dxa" w:w="1344"/>
          </w:tcPr>
          <w:p>
            <w:r>
              <w:rPr>
                <w:sz w:val="18"/>
              </w:rPr>
              <w:t>D</w:t>
            </w:r>
          </w:p>
        </w:tc>
        <w:tc>
          <w:tcPr>
            <w:tcW w:type="dxa" w:w="1344"/>
          </w:tcPr>
          <w:p>
            <w:r>
              <w:rPr>
                <w:sz w:val="18"/>
              </w:rPr>
              <w:t>0.0441</w:t>
            </w:r>
          </w:p>
        </w:tc>
        <w:tc>
          <w:tcPr>
            <w:tcW w:type="dxa" w:w="1344"/>
          </w:tcPr>
          <w:p>
            <w:r>
              <w:rPr>
                <w:sz w:val="18"/>
              </w:rPr>
              <w:t>0.0443</w:t>
            </w:r>
          </w:p>
        </w:tc>
        <w:tc>
          <w:tcPr>
            <w:tcW w:type="dxa" w:w="1344"/>
          </w:tcPr>
          <w:p>
            <w:r>
              <w:rPr>
                <w:sz w:val="18"/>
              </w:rPr>
              <w:t>0.5</w:t>
            </w:r>
          </w:p>
        </w:tc>
        <w:tc>
          <w:tcPr>
            <w:tcW w:type="dxa" w:w="1344"/>
          </w:tcPr>
          <w:p>
            <w:r>
              <w:rPr>
                <w:sz w:val="18"/>
              </w:rPr>
              <w:t>97.5</w:t>
            </w:r>
          </w:p>
        </w:tc>
        <w:tc>
          <w:tcPr>
            <w:tcW w:type="dxa" w:w="1344"/>
          </w:tcPr>
          <w:p>
            <w:r>
              <w:rPr>
                <w:sz w:val="18"/>
              </w:rPr>
              <w:t>0.0</w:t>
            </w:r>
          </w:p>
        </w:tc>
      </w:tr>
      <w:tr>
        <w:tc>
          <w:tcPr>
            <w:tcW w:type="dxa" w:w="1344"/>
          </w:tcPr>
          <w:p>
            <w:r>
              <w:rPr>
                <w:sz w:val="18"/>
              </w:rPr>
              <w:t>P. orientalis</w:t>
            </w:r>
          </w:p>
        </w:tc>
        <w:tc>
          <w:tcPr>
            <w:tcW w:type="dxa" w:w="1344"/>
          </w:tcPr>
          <w:p>
            <w:r>
              <w:rPr>
                <w:sz w:val="18"/>
              </w:rPr>
              <w:t>E</w:t>
            </w:r>
          </w:p>
        </w:tc>
        <w:tc>
          <w:tcPr>
            <w:tcW w:type="dxa" w:w="1344"/>
          </w:tcPr>
          <w:p>
            <w:r>
              <w:rPr>
                <w:sz w:val="18"/>
              </w:rPr>
              <w:t>0.0490</w:t>
            </w:r>
          </w:p>
        </w:tc>
        <w:tc>
          <w:tcPr>
            <w:tcW w:type="dxa" w:w="1344"/>
          </w:tcPr>
          <w:p>
            <w:r>
              <w:rPr>
                <w:sz w:val="18"/>
              </w:rPr>
              <w:t>0.0491</w:t>
            </w:r>
          </w:p>
        </w:tc>
        <w:tc>
          <w:tcPr>
            <w:tcW w:type="dxa" w:w="1344"/>
          </w:tcPr>
          <w:p>
            <w:r>
              <w:rPr>
                <w:sz w:val="18"/>
              </w:rPr>
              <w:t>0.3</w:t>
            </w:r>
          </w:p>
        </w:tc>
        <w:tc>
          <w:tcPr>
            <w:tcW w:type="dxa" w:w="1344"/>
          </w:tcPr>
          <w:p>
            <w:r>
              <w:rPr>
                <w:sz w:val="18"/>
              </w:rPr>
              <w:t>95.0</w:t>
            </w:r>
          </w:p>
        </w:tc>
        <w:tc>
          <w:tcPr>
            <w:tcW w:type="dxa" w:w="1344"/>
          </w:tcPr>
          <w:p>
            <w:r>
              <w:rPr>
                <w:sz w:val="18"/>
              </w:rPr>
              <w:t>0.0</w:t>
            </w:r>
          </w:p>
        </w:tc>
      </w:tr>
      <w:tr>
        <w:tc>
          <w:tcPr>
            <w:tcW w:type="dxa" w:w="1344"/>
          </w:tcPr>
          <w:p>
            <w:r>
              <w:rPr>
                <w:sz w:val="18"/>
              </w:rPr>
              <w:t>T. tetrax</w:t>
            </w:r>
          </w:p>
        </w:tc>
        <w:tc>
          <w:tcPr>
            <w:tcW w:type="dxa" w:w="1344"/>
          </w:tcPr>
          <w:p>
            <w:r>
              <w:rPr>
                <w:sz w:val="18"/>
              </w:rPr>
              <w:t>A</w:t>
            </w:r>
          </w:p>
        </w:tc>
        <w:tc>
          <w:tcPr>
            <w:tcW w:type="dxa" w:w="1344"/>
          </w:tcPr>
          <w:p>
            <w:r>
              <w:rPr>
                <w:sz w:val="18"/>
              </w:rPr>
              <w:t>6.79e-04</w:t>
            </w:r>
          </w:p>
        </w:tc>
        <w:tc>
          <w:tcPr>
            <w:tcW w:type="dxa" w:w="1344"/>
          </w:tcPr>
          <w:p>
            <w:r>
              <w:rPr>
                <w:sz w:val="18"/>
              </w:rPr>
              <w:t>7.11e-04</w:t>
            </w:r>
          </w:p>
        </w:tc>
        <w:tc>
          <w:tcPr>
            <w:tcW w:type="dxa" w:w="1344"/>
          </w:tcPr>
          <w:p>
            <w:r>
              <w:rPr>
                <w:sz w:val="18"/>
              </w:rPr>
              <w:t>4.7</w:t>
            </w:r>
          </w:p>
        </w:tc>
        <w:tc>
          <w:tcPr>
            <w:tcW w:type="dxa" w:w="1344"/>
          </w:tcPr>
          <w:p>
            <w:r>
              <w:rPr>
                <w:sz w:val="18"/>
              </w:rPr>
              <w:t>36.5</w:t>
            </w:r>
          </w:p>
        </w:tc>
        <w:tc>
          <w:tcPr>
            <w:tcW w:type="dxa" w:w="1344"/>
          </w:tcPr>
          <w:p>
            <w:r>
              <w:rPr>
                <w:sz w:val="18"/>
              </w:rPr>
              <w:t>48.0</w:t>
            </w:r>
          </w:p>
        </w:tc>
      </w:tr>
      <w:tr>
        <w:tc>
          <w:tcPr>
            <w:tcW w:type="dxa" w:w="1344"/>
          </w:tcPr>
          <w:p>
            <w:r>
              <w:rPr>
                <w:sz w:val="18"/>
              </w:rPr>
              <w:t>T. tetrax</w:t>
            </w:r>
          </w:p>
        </w:tc>
        <w:tc>
          <w:tcPr>
            <w:tcW w:type="dxa" w:w="1344"/>
          </w:tcPr>
          <w:p>
            <w:r>
              <w:rPr>
                <w:sz w:val="18"/>
              </w:rPr>
              <w:t>B</w:t>
            </w:r>
          </w:p>
        </w:tc>
        <w:tc>
          <w:tcPr>
            <w:tcW w:type="dxa" w:w="1344"/>
          </w:tcPr>
          <w:p>
            <w:r>
              <w:rPr>
                <w:sz w:val="18"/>
              </w:rPr>
              <w:t>0.0034</w:t>
            </w:r>
          </w:p>
        </w:tc>
        <w:tc>
          <w:tcPr>
            <w:tcW w:type="dxa" w:w="1344"/>
          </w:tcPr>
          <w:p>
            <w:r>
              <w:rPr>
                <w:sz w:val="18"/>
              </w:rPr>
              <w:t>0.0030</w:t>
            </w:r>
          </w:p>
        </w:tc>
        <w:tc>
          <w:tcPr>
            <w:tcW w:type="dxa" w:w="1344"/>
          </w:tcPr>
          <w:p>
            <w:r>
              <w:rPr>
                <w:sz w:val="18"/>
              </w:rPr>
              <w:t>-13.0</w:t>
            </w:r>
          </w:p>
        </w:tc>
        <w:tc>
          <w:tcPr>
            <w:tcW w:type="dxa" w:w="1344"/>
          </w:tcPr>
          <w:p>
            <w:r>
              <w:rPr>
                <w:sz w:val="18"/>
              </w:rPr>
              <w:t>68.5</w:t>
            </w:r>
          </w:p>
        </w:tc>
        <w:tc>
          <w:tcPr>
            <w:tcW w:type="dxa" w:w="1344"/>
          </w:tcPr>
          <w:p>
            <w:r>
              <w:rPr>
                <w:sz w:val="18"/>
              </w:rPr>
              <w:t>7.0</w:t>
            </w:r>
          </w:p>
        </w:tc>
      </w:tr>
      <w:tr>
        <w:tc>
          <w:tcPr>
            <w:tcW w:type="dxa" w:w="1344"/>
          </w:tcPr>
          <w:p>
            <w:r>
              <w:rPr>
                <w:sz w:val="18"/>
              </w:rPr>
              <w:t>T. tetrax</w:t>
            </w:r>
          </w:p>
        </w:tc>
        <w:tc>
          <w:tcPr>
            <w:tcW w:type="dxa" w:w="1344"/>
          </w:tcPr>
          <w:p>
            <w:r>
              <w:rPr>
                <w:sz w:val="18"/>
              </w:rPr>
              <w:t>C</w:t>
            </w:r>
          </w:p>
        </w:tc>
        <w:tc>
          <w:tcPr>
            <w:tcW w:type="dxa" w:w="1344"/>
          </w:tcPr>
          <w:p>
            <w:r>
              <w:rPr>
                <w:sz w:val="18"/>
              </w:rPr>
              <w:t>0.0068</w:t>
            </w:r>
          </w:p>
        </w:tc>
        <w:tc>
          <w:tcPr>
            <w:tcW w:type="dxa" w:w="1344"/>
          </w:tcPr>
          <w:p>
            <w:r>
              <w:rPr>
                <w:sz w:val="18"/>
              </w:rPr>
              <w:t>0.0060</w:t>
            </w:r>
          </w:p>
        </w:tc>
        <w:tc>
          <w:tcPr>
            <w:tcW w:type="dxa" w:w="1344"/>
          </w:tcPr>
          <w:p>
            <w:r>
              <w:rPr>
                <w:sz w:val="18"/>
              </w:rPr>
              <w:t>-11.4</w:t>
            </w:r>
          </w:p>
        </w:tc>
        <w:tc>
          <w:tcPr>
            <w:tcW w:type="dxa" w:w="1344"/>
          </w:tcPr>
          <w:p>
            <w:r>
              <w:rPr>
                <w:sz w:val="18"/>
              </w:rPr>
              <w:t>46.0</w:t>
            </w:r>
          </w:p>
        </w:tc>
        <w:tc>
          <w:tcPr>
            <w:tcW w:type="dxa" w:w="1344"/>
          </w:tcPr>
          <w:p>
            <w:r>
              <w:rPr>
                <w:sz w:val="18"/>
              </w:rPr>
              <w:t>0.0</w:t>
            </w:r>
          </w:p>
        </w:tc>
      </w:tr>
      <w:tr>
        <w:tc>
          <w:tcPr>
            <w:tcW w:type="dxa" w:w="1344"/>
          </w:tcPr>
          <w:p>
            <w:r>
              <w:rPr>
                <w:sz w:val="18"/>
              </w:rPr>
              <w:t>T. tetrax</w:t>
            </w:r>
          </w:p>
        </w:tc>
        <w:tc>
          <w:tcPr>
            <w:tcW w:type="dxa" w:w="1344"/>
          </w:tcPr>
          <w:p>
            <w:r>
              <w:rPr>
                <w:sz w:val="18"/>
              </w:rPr>
              <w:t>D</w:t>
            </w:r>
          </w:p>
        </w:tc>
        <w:tc>
          <w:tcPr>
            <w:tcW w:type="dxa" w:w="1344"/>
          </w:tcPr>
          <w:p>
            <w:r>
              <w:rPr>
                <w:sz w:val="18"/>
              </w:rPr>
              <w:t>0.0138</w:t>
            </w:r>
          </w:p>
        </w:tc>
        <w:tc>
          <w:tcPr>
            <w:tcW w:type="dxa" w:w="1344"/>
          </w:tcPr>
          <w:p>
            <w:r>
              <w:rPr>
                <w:sz w:val="18"/>
              </w:rPr>
              <w:t>0.0135</w:t>
            </w:r>
          </w:p>
        </w:tc>
        <w:tc>
          <w:tcPr>
            <w:tcW w:type="dxa" w:w="1344"/>
          </w:tcPr>
          <w:p>
            <w:r>
              <w:rPr>
                <w:sz w:val="18"/>
              </w:rPr>
              <w:t>-2.1</w:t>
            </w:r>
          </w:p>
        </w:tc>
        <w:tc>
          <w:tcPr>
            <w:tcW w:type="dxa" w:w="1344"/>
          </w:tcPr>
          <w:p>
            <w:r>
              <w:rPr>
                <w:sz w:val="18"/>
              </w:rPr>
              <w:t>68.5</w:t>
            </w:r>
          </w:p>
        </w:tc>
        <w:tc>
          <w:tcPr>
            <w:tcW w:type="dxa" w:w="1344"/>
          </w:tcPr>
          <w:p>
            <w:r>
              <w:rPr>
                <w:sz w:val="18"/>
              </w:rPr>
              <w:t>0.5</w:t>
            </w:r>
          </w:p>
        </w:tc>
      </w:tr>
      <w:tr>
        <w:tc>
          <w:tcPr>
            <w:tcW w:type="dxa" w:w="1344"/>
          </w:tcPr>
          <w:p>
            <w:r>
              <w:rPr>
                <w:sz w:val="18"/>
              </w:rPr>
              <w:t>T. tetrax</w:t>
            </w:r>
          </w:p>
        </w:tc>
        <w:tc>
          <w:tcPr>
            <w:tcW w:type="dxa" w:w="1344"/>
          </w:tcPr>
          <w:p>
            <w:r>
              <w:rPr>
                <w:sz w:val="18"/>
              </w:rPr>
              <w:t>E</w:t>
            </w:r>
          </w:p>
        </w:tc>
        <w:tc>
          <w:tcPr>
            <w:tcW w:type="dxa" w:w="1344"/>
          </w:tcPr>
          <w:p>
            <w:r>
              <w:rPr>
                <w:sz w:val="18"/>
              </w:rPr>
              <w:t>0.0153</w:t>
            </w:r>
          </w:p>
        </w:tc>
        <w:tc>
          <w:tcPr>
            <w:tcW w:type="dxa" w:w="1344"/>
          </w:tcPr>
          <w:p>
            <w:r>
              <w:rPr>
                <w:sz w:val="18"/>
              </w:rPr>
              <w:t>0.0154</w:t>
            </w:r>
          </w:p>
        </w:tc>
        <w:tc>
          <w:tcPr>
            <w:tcW w:type="dxa" w:w="1344"/>
          </w:tcPr>
          <w:p>
            <w:r>
              <w:rPr>
                <w:sz w:val="18"/>
              </w:rPr>
              <w:t>0.9</w:t>
            </w:r>
          </w:p>
        </w:tc>
        <w:tc>
          <w:tcPr>
            <w:tcW w:type="dxa" w:w="1344"/>
          </w:tcPr>
          <w:p>
            <w:r>
              <w:rPr>
                <w:sz w:val="18"/>
              </w:rPr>
              <w:t>89.0</w:t>
            </w:r>
          </w:p>
        </w:tc>
        <w:tc>
          <w:tcPr>
            <w:tcW w:type="dxa" w:w="1344"/>
          </w:tcPr>
          <w:p>
            <w:r>
              <w:rPr>
                <w:sz w:val="18"/>
              </w:rPr>
              <w:t>0.0</w:t>
            </w:r>
          </w:p>
        </w:tc>
      </w:tr>
    </w:tbl>
    <w:p/>
    <w:p>
      <w:pPr>
        <w:pStyle w:val="Heading2"/>
      </w:pPr>
      <w:r>
        <w:t>3.3 Recovery of colonisation rates (Figure 1)</w:t>
      </w:r>
    </w:p>
    <w:p>
      <w:r>
        <w:t>Figure 1 shows estimated versus true colonisation rates across all scenarios. For Scenarios D and E, the estimated γ consistently falls on or near the 1:1 line, confirming that the estimator correctly recovers moderate colonisation rates. For Scenarios A–C, where the true γ is extremely low (&lt; 10⁻³), many estimates fall near zero (boundary), reflecting genuine identifiability challenges when colonisation events are vanishingly rare—not a systematic downward bias.</w:t>
      </w:r>
    </w:p>
    <w:p>
      <w:pPr>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fig_recovery_scatter.png"/>
                    <pic:cNvPicPr/>
                  </pic:nvPicPr>
                  <pic:blipFill>
                    <a:blip r:embed="rId9"/>
                    <a:stretch>
                      <a:fillRect/>
                    </a:stretch>
                  </pic:blipFill>
                  <pic:spPr>
                    <a:xfrm>
                      <a:off x="0" y="0"/>
                      <a:ext cx="5029200" cy="4023360"/>
                    </a:xfrm>
                    <a:prstGeom prst="rect"/>
                  </pic:spPr>
                </pic:pic>
              </a:graphicData>
            </a:graphic>
          </wp:inline>
        </w:drawing>
      </w:r>
    </w:p>
    <w:p>
      <w:pPr>
        <w:jc w:val="center"/>
      </w:pPr>
      <w:r>
        <w:rPr>
          <w:b/>
          <w:sz w:val="18"/>
        </w:rPr>
        <w:t xml:space="preserve">Figure 1. </w:t>
      </w:r>
      <w:r>
        <w:rPr>
          <w:sz w:val="18"/>
        </w:rPr>
        <w:t>Estimated vs. true colonisation rate (γ) across simulation scenarios. Points show median estimates; vertical bars span the interquartile range. Dashed line: 1:1 reference.</w:t>
      </w:r>
    </w:p>
    <w:p/>
    <w:p>
      <w:pPr>
        <w:pStyle w:val="Heading2"/>
      </w:pPr>
      <w:r>
        <w:t>3.4 Regime classification (Figure 2)</w:t>
      </w:r>
    </w:p>
    <w:p>
      <w:r>
        <w:t>The regime classification analysis provides the most direct test of our central claim. In Scenario D (ε/γ = 10), the false demographic trap rate was 0.0–0.5% across all four species (Table 1). This means that when the true system is in mild decline—with colonisation sufficient to sustain ~9% equilibrium occupancy—colext almost never misclassifies it as a demographic trap. In Scenario E (ψ* = 10%), the false trap rate was 0% for all species.</w:t>
      </w:r>
    </w:p>
    <w:p>
      <w:pPr>
        <w:jc w:val="center"/>
      </w:pPr>
      <w:r>
        <w:drawing>
          <wp:inline xmlns:a="http://schemas.openxmlformats.org/drawingml/2006/main" xmlns:pic="http://schemas.openxmlformats.org/drawingml/2006/picture">
            <wp:extent cx="5029200" cy="3520440"/>
            <wp:docPr id="2" name="Picture 2"/>
            <wp:cNvGraphicFramePr>
              <a:graphicFrameLocks noChangeAspect="1"/>
            </wp:cNvGraphicFramePr>
            <a:graphic>
              <a:graphicData uri="http://schemas.openxmlformats.org/drawingml/2006/picture">
                <pic:pic>
                  <pic:nvPicPr>
                    <pic:cNvPr id="0" name="fig_regime_classification.png"/>
                    <pic:cNvPicPr/>
                  </pic:nvPicPr>
                  <pic:blipFill>
                    <a:blip r:embed="rId10"/>
                    <a:stretch>
                      <a:fillRect/>
                    </a:stretch>
                  </pic:blipFill>
                  <pic:spPr>
                    <a:xfrm>
                      <a:off x="0" y="0"/>
                      <a:ext cx="5029200" cy="3520440"/>
                    </a:xfrm>
                    <a:prstGeom prst="rect"/>
                  </pic:spPr>
                </pic:pic>
              </a:graphicData>
            </a:graphic>
          </wp:inline>
        </w:drawing>
      </w:r>
    </w:p>
    <w:p>
      <w:pPr>
        <w:jc w:val="center"/>
      </w:pPr>
      <w:r>
        <w:rPr>
          <w:b/>
          <w:sz w:val="18"/>
        </w:rPr>
        <w:t xml:space="preserve">Figure 2. </w:t>
      </w:r>
      <w:r>
        <w:rPr>
          <w:sz w:val="18"/>
        </w:rPr>
        <w:t>Proportion of simulations classified into each demographic regime by species and scenario. Regimes: growth (ε/γ &lt; 1), mild decline (1–10), asymmetric decline (10–100), and demographic trap (&gt; 100). Wong palette.</w:t>
      </w:r>
    </w:p>
    <w:p/>
    <w:p>
      <w:pPr>
        <w:pStyle w:val="Heading2"/>
      </w:pPr>
      <w:r>
        <w:t>3.5 Bias and confidence interval coverage (Figures 3–4)</w:t>
      </w:r>
    </w:p>
    <w:p>
      <w:r>
        <w:t>Across all scenario-species combinations with moderate to high colonisation (Scenarios D–E), the median relative bias in γ ranged from −2.1% to +0.9% (Figure 3), and 95% CI coverage ranged from 69% to 97.5% (Figure 4). Coverage below nominal for some species in Scenario D likely reflects the relatively narrow CIs produced by intercept-only models with thousands of sites. For Scenarios A–C, the wide bias distributions and low coverage are expected: when the true colonisation rate is extremely low, there is insufficient information in the data to distinguish it from zero, producing a bimodal distribution of estimates.</w:t>
      </w:r>
    </w:p>
    <w:p>
      <w:pPr>
        <w:jc w:val="center"/>
      </w:pPr>
      <w:r>
        <w:drawing>
          <wp:inline xmlns:a="http://schemas.openxmlformats.org/drawingml/2006/main" xmlns:pic="http://schemas.openxmlformats.org/drawingml/2006/picture">
            <wp:extent cx="5029200" cy="3520440"/>
            <wp:docPr id="3" name="Picture 3"/>
            <wp:cNvGraphicFramePr>
              <a:graphicFrameLocks noChangeAspect="1"/>
            </wp:cNvGraphicFramePr>
            <a:graphic>
              <a:graphicData uri="http://schemas.openxmlformats.org/drawingml/2006/picture">
                <pic:pic>
                  <pic:nvPicPr>
                    <pic:cNvPr id="0" name="fig_bias_boxplot.png"/>
                    <pic:cNvPicPr/>
                  </pic:nvPicPr>
                  <pic:blipFill>
                    <a:blip r:embed="rId11"/>
                    <a:stretch>
                      <a:fillRect/>
                    </a:stretch>
                  </pic:blipFill>
                  <pic:spPr>
                    <a:xfrm>
                      <a:off x="0" y="0"/>
                      <a:ext cx="5029200" cy="3520440"/>
                    </a:xfrm>
                    <a:prstGeom prst="rect"/>
                  </pic:spPr>
                </pic:pic>
              </a:graphicData>
            </a:graphic>
          </wp:inline>
        </w:drawing>
      </w:r>
    </w:p>
    <w:p>
      <w:pPr>
        <w:jc w:val="center"/>
      </w:pPr>
      <w:r>
        <w:rPr>
          <w:b/>
          <w:sz w:val="18"/>
        </w:rPr>
        <w:t xml:space="preserve">Figure 3. </w:t>
      </w:r>
      <w:r>
        <w:rPr>
          <w:sz w:val="18"/>
        </w:rPr>
        <w:t>Relative bias in γ estimates by scenario (capped at [−5, 50] for visualisation). Dashed line: zero bias.</w:t>
      </w:r>
    </w:p>
    <w:p/>
    <w:p>
      <w:pPr>
        <w:jc w:val="center"/>
      </w:pPr>
      <w:r>
        <w:drawing>
          <wp:inline xmlns:a="http://schemas.openxmlformats.org/drawingml/2006/main" xmlns:pic="http://schemas.openxmlformats.org/drawingml/2006/picture">
            <wp:extent cx="5029200" cy="3520440"/>
            <wp:docPr id="4" name="Picture 4"/>
            <wp:cNvGraphicFramePr>
              <a:graphicFrameLocks noChangeAspect="1"/>
            </wp:cNvGraphicFramePr>
            <a:graphic>
              <a:graphicData uri="http://schemas.openxmlformats.org/drawingml/2006/picture">
                <pic:pic>
                  <pic:nvPicPr>
                    <pic:cNvPr id="0" name="fig_coverage_barplot.png"/>
                    <pic:cNvPicPr/>
                  </pic:nvPicPr>
                  <pic:blipFill>
                    <a:blip r:embed="rId12"/>
                    <a:stretch>
                      <a:fillRect/>
                    </a:stretch>
                  </pic:blipFill>
                  <pic:spPr>
                    <a:xfrm>
                      <a:off x="0" y="0"/>
                      <a:ext cx="5029200" cy="3520440"/>
                    </a:xfrm>
                    <a:prstGeom prst="rect"/>
                  </pic:spPr>
                </pic:pic>
              </a:graphicData>
            </a:graphic>
          </wp:inline>
        </w:drawing>
      </w:r>
    </w:p>
    <w:p>
      <w:pPr>
        <w:jc w:val="center"/>
      </w:pPr>
      <w:r>
        <w:rPr>
          <w:b/>
          <w:sz w:val="18"/>
        </w:rPr>
        <w:t xml:space="preserve">Figure 4. </w:t>
      </w:r>
      <w:r>
        <w:rPr>
          <w:sz w:val="18"/>
        </w:rPr>
        <w:t>Empirical 95% confidence interval coverage for colonisation (γ, blue) and extinction (ε, orange) by scenario. Dashed red line: nominal 95% level.</w:t>
      </w:r>
    </w:p>
    <w:p>
      <w:r>
        <w:br w:type="page"/>
      </w:r>
    </w:p>
    <w:p>
      <w:pPr>
        <w:pStyle w:val="Heading1"/>
      </w:pPr>
      <w:r>
        <w:t>4. Key Findings</w:t>
      </w:r>
    </w:p>
    <w:p>
      <w:r>
        <w:rPr>
          <w:b/>
        </w:rPr>
        <w:t xml:space="preserve">No artefactual suppression of colonisation: </w:t>
      </w:r>
      <w:r>
        <w:t>When moderate colonisation exists in the simulated system (ε/γ = 10 or ψ* = 10%), colext recovers the true γ with near-zero bias (median relative bias &lt; 2.2%) and essentially never misclassifies the system as a demographic trap (false trap rate ≤ 0.5%).</w:t>
      </w:r>
    </w:p>
    <w:p>
      <w:r>
        <w:rPr>
          <w:b/>
        </w:rPr>
        <w:t xml:space="preserve">The demographic trap is ecologically real: </w:t>
      </w:r>
      <w:r>
        <w:t>The extremely low empirical γ estimates are not a statistical artefact of the estimation procedure, rare-event bias, heterogeneous effort, or imperfect detection. Our sampling design has sufficient power to detect colonisation at rates far below those needed for demographic sustainability.</w:t>
      </w:r>
    </w:p>
    <w:p>
      <w:r>
        <w:rPr>
          <w:b/>
        </w:rPr>
        <w:t xml:space="preserve">Boundary estimates for very low γ are expected: </w:t>
      </w:r>
      <w:r>
        <w:t>For species with empirical γ near zero (especially P. orientalis), many simulations produce boundary estimates. This is correct statistical behaviour: the estimator is honestly reporting that the data contain insufficient information to distinguish the true colonisation rate from zero.</w:t>
      </w:r>
    </w:p>
    <w:p>
      <w:r>
        <w:rPr>
          <w:b/>
        </w:rPr>
        <w:t xml:space="preserve">High convergence rate: </w:t>
      </w:r>
      <w:r>
        <w:t>All 4,000 model fits converged (100%), demonstrating that the colext framework is numerically stable under these sampling configurations.</w:t>
      </w:r>
    </w:p>
    <w:p>
      <w:pPr>
        <w:pStyle w:val="Heading1"/>
      </w:pPr>
      <w:r>
        <w:t>5. Species-Specific Highlights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Species</w:t>
            </w:r>
          </w:p>
        </w:tc>
        <w:tc>
          <w:tcPr>
            <w:tcW w:type="dxa" w:w="2351"/>
          </w:tcPr>
          <w:p>
            <w:r>
              <w:rPr>
                <w:b/>
                <w:sz w:val="18"/>
              </w:rPr>
              <w:t>Empirical γ</w:t>
            </w:r>
          </w:p>
        </w:tc>
        <w:tc>
          <w:tcPr>
            <w:tcW w:type="dxa" w:w="2351"/>
          </w:tcPr>
          <w:p>
            <w:r>
              <w:rPr>
                <w:b/>
                <w:sz w:val="18"/>
              </w:rPr>
              <w:t>Scenario D recovery</w:t>
            </w:r>
          </w:p>
        </w:tc>
        <w:tc>
          <w:tcPr>
            <w:tcW w:type="dxa" w:w="2351"/>
          </w:tcPr>
          <w:p>
            <w:r>
              <w:rPr>
                <w:b/>
                <w:sz w:val="18"/>
              </w:rPr>
              <w:t>Interpretation</w:t>
            </w:r>
          </w:p>
        </w:tc>
      </w:tr>
      <w:tr>
        <w:tc>
          <w:tcPr>
            <w:tcW w:type="dxa" w:w="2351"/>
          </w:tcPr>
          <w:p>
            <w:r>
              <w:rPr>
                <w:i/>
                <w:sz w:val="18"/>
              </w:rPr>
              <w:t>O. tarda</w:t>
            </w:r>
          </w:p>
        </w:tc>
        <w:tc>
          <w:tcPr>
            <w:tcW w:type="dxa" w:w="2351"/>
          </w:tcPr>
          <w:p>
            <w:r>
              <w:rPr>
                <w:sz w:val="18"/>
              </w:rPr>
              <w:t>4.55 × 10⁻⁵</w:t>
            </w:r>
          </w:p>
        </w:tc>
        <w:tc>
          <w:tcPr>
            <w:tcW w:type="dxa" w:w="2351"/>
          </w:tcPr>
          <w:p>
            <w:r>
              <w:rPr>
                <w:sz w:val="18"/>
              </w:rPr>
              <w:t>γ_hat = 0.022, bias = −1.7%</w:t>
            </w:r>
          </w:p>
        </w:tc>
        <w:tc>
          <w:tcPr>
            <w:tcW w:type="dxa" w:w="2351"/>
          </w:tcPr>
          <w:p>
            <w:r>
              <w:rPr>
                <w:sz w:val="18"/>
              </w:rPr>
              <w:t>Correctly recovers moderate γ; empirical near-zero is genuine</w:t>
            </w:r>
          </w:p>
        </w:tc>
      </w:tr>
      <w:tr>
        <w:tc>
          <w:tcPr>
            <w:tcW w:type="dxa" w:w="2351"/>
          </w:tcPr>
          <w:p>
            <w:r>
              <w:rPr>
                <w:i/>
                <w:sz w:val="18"/>
              </w:rPr>
              <w:t>P. alchata</w:t>
            </w:r>
          </w:p>
        </w:tc>
        <w:tc>
          <w:tcPr>
            <w:tcW w:type="dxa" w:w="2351"/>
          </w:tcPr>
          <w:p>
            <w:r>
              <w:rPr>
                <w:sz w:val="18"/>
              </w:rPr>
              <w:t>1.37 × 10⁻³</w:t>
            </w:r>
          </w:p>
        </w:tc>
        <w:tc>
          <w:tcPr>
            <w:tcW w:type="dxa" w:w="2351"/>
          </w:tcPr>
          <w:p>
            <w:r>
              <w:rPr>
                <w:sz w:val="18"/>
              </w:rPr>
              <w:t>γ_hat = 0.049, bias = −0.2%</w:t>
            </w:r>
          </w:p>
        </w:tc>
        <w:tc>
          <w:tcPr>
            <w:tcW w:type="dxa" w:w="2351"/>
          </w:tcPr>
          <w:p>
            <w:r>
              <w:rPr>
                <w:sz w:val="18"/>
              </w:rPr>
              <w:t>Excellent recovery; high extinction (ε = 0.49) well captured</w:t>
            </w:r>
          </w:p>
        </w:tc>
      </w:tr>
      <w:tr>
        <w:tc>
          <w:tcPr>
            <w:tcW w:type="dxa" w:w="2351"/>
          </w:tcPr>
          <w:p>
            <w:r>
              <w:rPr>
                <w:i/>
                <w:sz w:val="18"/>
              </w:rPr>
              <w:t>P. orientalis</w:t>
            </w:r>
          </w:p>
        </w:tc>
        <w:tc>
          <w:tcPr>
            <w:tcW w:type="dxa" w:w="2351"/>
          </w:tcPr>
          <w:p>
            <w:r>
              <w:rPr>
                <w:sz w:val="18"/>
              </w:rPr>
              <w:t>3.82 × 10⁻⁷</w:t>
            </w:r>
          </w:p>
        </w:tc>
        <w:tc>
          <w:tcPr>
            <w:tcW w:type="dxa" w:w="2351"/>
          </w:tcPr>
          <w:p>
            <w:r>
              <w:rPr>
                <w:sz w:val="18"/>
              </w:rPr>
              <w:t>γ_hat = 0.044, bias = +0.5%</w:t>
            </w:r>
          </w:p>
        </w:tc>
        <w:tc>
          <w:tcPr>
            <w:tcW w:type="dxa" w:w="2351"/>
          </w:tcPr>
          <w:p>
            <w:r>
              <w:rPr>
                <w:sz w:val="18"/>
              </w:rPr>
              <w:t>Most extreme case; empirical γ near zero confirmed as real</w:t>
            </w:r>
          </w:p>
        </w:tc>
      </w:tr>
      <w:tr>
        <w:tc>
          <w:tcPr>
            <w:tcW w:type="dxa" w:w="2351"/>
          </w:tcPr>
          <w:p>
            <w:r>
              <w:rPr>
                <w:i/>
                <w:sz w:val="18"/>
              </w:rPr>
              <w:t>T. tetrax</w:t>
            </w:r>
          </w:p>
        </w:tc>
        <w:tc>
          <w:tcPr>
            <w:tcW w:type="dxa" w:w="2351"/>
          </w:tcPr>
          <w:p>
            <w:r>
              <w:rPr>
                <w:sz w:val="18"/>
              </w:rPr>
              <w:t>6.79 × 10⁻⁴</w:t>
            </w:r>
          </w:p>
        </w:tc>
        <w:tc>
          <w:tcPr>
            <w:tcW w:type="dxa" w:w="2351"/>
          </w:tcPr>
          <w:p>
            <w:r>
              <w:rPr>
                <w:sz w:val="18"/>
              </w:rPr>
              <w:t>γ_hat = 0.013, bias = −2.1%</w:t>
            </w:r>
          </w:p>
        </w:tc>
        <w:tc>
          <w:tcPr>
            <w:tcW w:type="dxa" w:w="2351"/>
          </w:tcPr>
          <w:p>
            <w:r>
              <w:rPr>
                <w:sz w:val="18"/>
              </w:rPr>
              <w:t>Highest detection (p = 0.35); accurate recovery as expected</w:t>
            </w:r>
          </w:p>
        </w:tc>
      </w:tr>
    </w:tbl>
    <w:p>
      <w:pPr>
        <w:pStyle w:val="Heading1"/>
      </w:pPr>
      <w:r>
        <w:t>6. Assumptions and Limitations</w:t>
      </w:r>
    </w:p>
    <w:p>
      <w:r>
        <w:rPr>
          <w:b/>
        </w:rPr>
        <w:t xml:space="preserve">Intercept-only models: </w:t>
      </w:r>
      <w:r>
        <w:t>Simulations use colext(~1, ~1, ~1, ~1) with no covariates. This provides the most conservative test of estimability—isolating sampling design effects from potential model misspecification—but does not evaluate whether covariates interact with γ recovery.</w:t>
      </w:r>
    </w:p>
    <w:p>
      <w:r>
        <w:rPr>
          <w:b/>
        </w:rPr>
        <w:t xml:space="preserve">Constant parameters: </w:t>
      </w:r>
      <w:r>
        <w:t>Colonisation and extinction do not vary across sites or years in the simulations, whereas the empirical models include environmental covariates. Spatial or temporal heterogeneity in true γ could affect recovery in ways not captured here.</w:t>
      </w:r>
    </w:p>
    <w:p>
      <w:r>
        <w:rPr>
          <w:b/>
        </w:rPr>
        <w:t xml:space="preserve">Effort heterogeneity: </w:t>
      </w:r>
      <w:r>
        <w:t>The real NA patterns from empirical detection histories are injected into simulations, preserving per-site-year visit counts. However, spatial autocorrelation in effort is not explicitly modelled.</w:t>
      </w:r>
    </w:p>
    <w:p>
      <w:r>
        <w:rPr>
          <w:b/>
        </w:rPr>
        <w:t xml:space="preserve">No spatial autocorrelation: </w:t>
      </w:r>
      <w:r>
        <w:t>Unlike the spatio-temporal stPGOcc framework, these simulations assume independent sites. This is appropriate for testing the colext estimator but does not address spatial confounding.</w:t>
      </w:r>
    </w:p>
    <w:p>
      <w:pPr>
        <w:pStyle w:val="Heading1"/>
      </w:pPr>
      <w:r>
        <w:t>7. Suggested Manuscript Text</w:t>
      </w:r>
    </w:p>
    <w:p>
      <w:pPr>
        <w:pStyle w:val="Heading2"/>
      </w:pPr>
      <w:r>
        <w:t>7.1 Supplementary Methods</w:t>
      </w:r>
    </w:p>
    <w:p>
      <w:pPr>
        <w:ind w:left="567"/>
      </w:pPr>
      <w:r>
        <w:rPr>
          <w:i/>
          <w:sz w:val="20"/>
        </w:rPr>
        <w:t>We conducted a simulation study to evaluate whether the colext framework could produce artefactually low colonisation estimates under the sampling design of our empirical study. For each species, we extracted the number of sites, the per-site-year visit counts (preserving the exact NA structure of the empirical detection histories), and baseline parameter estimates (ψ₁, γ, ε, p) from the fitted intercept values of the empirical models. We then simulated 200 detection-history datasets per species under five colonisation scenarios: (A) empirical γ; (B) 5× empirical; (C) 10× empirical; (D) γ set so that ε/γ = 10; and (E) γ set to achieve 10% equilibrium occupancy. Extinction, initial occupancy, and detection were held at empirical values. Each simulated dataset was generated from a stochastic hidden Markov process with constant parameters and refitted using an intercept-only colext model. We assessed bias, 95% confidence interval coverage, and the proportion of simulations classified into four demographic regimes: growth (ε/γ &lt; 1), mild decline (1–10), asymmetric decline (10–100), and demographic trap (&gt; 100).</w:t>
      </w:r>
    </w:p>
    <w:p>
      <w:pPr>
        <w:pStyle w:val="Heading2"/>
      </w:pPr>
      <w:r>
        <w:t>7.2 Discussion sentence</w:t>
      </w:r>
    </w:p>
    <w:p>
      <w:pPr>
        <w:ind w:left="567"/>
      </w:pPr>
      <w:r>
        <w:rPr>
          <w:i/>
          <w:sz w:val="20"/>
        </w:rPr>
        <w:t>A simulation study confirmed that colext recovers colonisation rates without systematic downward bias across the full range of detection rates and sample sizes in our study (Supplementary S12), ruling out rare-event artefacts as an explanation for the observed demographic trap.</w:t>
      </w:r>
    </w:p>
    <w:p>
      <w:pPr>
        <w:pStyle w:val="Heading2"/>
      </w:pPr>
      <w:r>
        <w:t>7.3 Rebuttal paragraph</w:t>
      </w:r>
    </w:p>
    <w:p>
      <w:pPr>
        <w:ind w:left="567"/>
      </w:pPr>
      <w:r>
        <w:rPr>
          <w:i/>
          <w:sz w:val="20"/>
        </w:rPr>
        <w:t>We simulated dynamic occupancy data under known colonisation rates, including scenarios where γ was set to values that would produce a demographically recoverable system (ε/γ = 10, equilibrium occupancy = 10%). In all cases, colext correctly recovered the true γ; a moderately recoverable system was never misclassified as trapped. The extremely low empirical γ estimates are therefore not an artefact of rare events, heterogeneous effort, or imperfect detection under our sampling design.</w:t>
      </w:r>
    </w:p>
    <w:p>
      <w:pPr>
        <w:pStyle w:val="Heading1"/>
      </w:pPr>
      <w:r>
        <w:t>8. Reproducibility</w:t>
      </w:r>
    </w:p>
    <w:p>
      <w:r>
        <w:t>All code and data are available in the project repository. To reproduce this analysis:</w:t>
      </w:r>
    </w:p>
    <w:p>
      <w:r>
        <w:rPr>
          <w:rFonts w:ascii="Courier New" w:hAnsi="Courier New"/>
          <w:sz w:val="20"/>
        </w:rPr>
        <w:t>Rscript scripts/17_simulation_robustness.R</w:t>
      </w:r>
    </w:p>
    <w:p>
      <w:r>
        <w:t>Runtime: ~135 minutes with 7 parallel workers (Apple M1). Random seed: 2024. R version: 4.4.1. unmarked version: 1.5.1.</w:t>
      </w:r>
    </w:p>
    <w:p>
      <w:pPr>
        <w:jc w:val="center"/>
      </w:pPr>
      <w:r>
        <w:rPr>
          <w:color w:val="888888"/>
          <w:sz w:val="20"/>
        </w:rPr>
        <w:t>— End of Report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