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Guillermo Fandos</w:t>
      </w:r>
      <w:r>
        <w:t xml:space="preserve"> </w:t>
      </w:r>
      <w:r>
        <w:t xml:space="preserve">Departamento de Biodiversidad, Ecología y Evolución</w:t>
      </w:r>
      <w:r>
        <w:t xml:space="preserve"> </w:t>
      </w:r>
      <w:r>
        <w:t xml:space="preserve">Universidad Complutense de Madrid</w:t>
      </w:r>
      <w:r>
        <w:t xml:space="preserve"> </w:t>
      </w:r>
      <w:r>
        <w:t xml:space="preserve">28040 Madrid, Spain</w:t>
      </w:r>
      <w:r>
        <w:t xml:space="preserve"> </w:t>
      </w:r>
      <w:r>
        <w:t xml:space="preserve">gfandos@ucm.es</w:t>
      </w:r>
    </w:p>
    <w:p>
      <w:pPr>
        <w:pStyle w:val="BodyText"/>
      </w:pPr>
      <w:r>
        <w:t xml:space="preserve">27 August 2026</w:t>
      </w:r>
    </w:p>
    <w:p>
      <w:pPr>
        <w:pStyle w:val="BodyText"/>
      </w:pPr>
      <w:r>
        <w:t xml:space="preserve">Editorial Office</w:t>
      </w:r>
      <w:r>
        <w:t xml:space="preserve"> </w:t>
      </w:r>
      <w:r>
        <w:t xml:space="preserve">Global Change Biology</w:t>
      </w:r>
    </w:p>
    <w:p>
      <w:pPr>
        <w:pStyle w:val="BodyText"/>
      </w:pPr>
      <w:r>
        <w:t xml:space="preserve">Dear Editors,</w:t>
      </w:r>
    </w:p>
    <w:p>
      <w:pPr>
        <w:pStyle w:val="BodyText"/>
      </w:pPr>
      <w:r>
        <w:t xml:space="preserve">Please consider our manuscript</w:t>
      </w:r>
      <w:r>
        <w:t xml:space="preserve"> </w:t>
      </w:r>
      <w:r>
        <w:t xml:space="preserve">“Colonisation–extinction imbalance reveals a demographic trap in Iberian steppe birds”</w:t>
      </w:r>
      <w:r>
        <w:t xml:space="preserve"> </w:t>
      </w:r>
      <w:r>
        <w:t xml:space="preserve">for publication as a Research Article in Global Change Biology.</w:t>
      </w:r>
    </w:p>
    <w:p>
      <w:pPr>
        <w:pStyle w:val="BodyText"/>
      </w:pPr>
      <w:r>
        <w:t xml:space="preserve">Species ranges are usually monitored through occupancy patterns, yet patterns alone cannot reveal whether a range is demographically sustainable. We fitted dynamic occupancy models to seven years of eBird data across more than 4,000 grid cells in mainland Spain for four threatened steppe birds (great bustard, little bustard, pin-tailed and black-bellied sandgrouse), a guild that concentrates 19–97% of its European breeding populations in Iberia. After correcting for imperfect detection, colonisation rates were two to six orders of magnitude lower than extinction rates in all four species, and this asymmetry held across the full uncertainty distribution. Equilibrium occupancies implied by current rates fall far below observed distributions, indicating a substantial extinction debt: these ranges are transient legacies of past landscapes rather than outcomes of ongoing demographic processes.</w:t>
      </w:r>
    </w:p>
    <w:p>
      <w:pPr>
        <w:pStyle w:val="BodyText"/>
      </w:pPr>
      <w:r>
        <w:t xml:space="preserve">We believe these results are relevant to the readership of Global Change Biology for three reasons. First, they show that range contraction can outpace habitat loss when colonisation collapses, a mechanism of biodiversity decline that operates even under slow or moderate environmental change and that pattern-based monitoring cannot detect. Second, they demonstrate that naive and detection-corrected demographic rates lead to opposite conclusions about population viability, with direct consequences for the use of citizen-science data in global change research. Third, they carry a clear management implication: where colonisation has already failed, preventing local extinction at occupied sites delivers a larger demographic return than promoting recolonisation.</w:t>
      </w:r>
    </w:p>
    <w:p>
      <w:pPr>
        <w:pStyle w:val="BodyText"/>
      </w:pPr>
      <w:r>
        <w:t xml:space="preserve">The conclusions were robust to survey design, to spatial autocorrelation, and to a dedicated analysis of within-cell sampling structure in the citizen-science data (Appendix S19). All analyses are fully reproducible; code is archived and the data will be deposited in Zenodo (DOI to be assigned upon acceptance).</w:t>
      </w:r>
    </w:p>
    <w:p>
      <w:pPr>
        <w:pStyle w:val="BodyText"/>
      </w:pPr>
      <w:r>
        <w:t xml:space="preserve">This manuscript is original work, is not under consideration elsewhere, and all authors have approved its submission. We declare no conflicts of interest.</w:t>
      </w:r>
    </w:p>
    <w:p>
      <w:pPr>
        <w:pStyle w:val="BodyText"/>
      </w:pPr>
      <w:r>
        <w:t xml:space="preserve">Thank you for your consideration.</w:t>
      </w:r>
    </w:p>
    <w:p>
      <w:pPr>
        <w:pStyle w:val="BodyText"/>
      </w:pPr>
      <w:r>
        <w:t xml:space="preserve">On behalf of all authors,</w:t>
      </w:r>
    </w:p>
    <w:p>
      <w:pPr>
        <w:pStyle w:val="BodyText"/>
      </w:pPr>
      <w:r>
        <w:t xml:space="preserve">Guillermo Fandos and Raúl Contreras-Martín (corresponding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2026-08-27T13:32:50Z</dcterms:created>
  <dcterms:modified xsi:type="dcterms:W3CDTF">2026-08-27T13:32:50Z</dcterms:modified>
</cp:coreProperties>
</file>

<file path=docProps/custom.xml><?xml version="1.0" encoding="utf-8"?>
<Properties xmlns="http://schemas.openxmlformats.org/officeDocument/2006/custom-properties" xmlns:vt="http://schemas.openxmlformats.org/officeDocument/2006/docPropsVTypes"/>
</file>