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3770" w14:textId="77777777" w:rsidR="00431F44" w:rsidRDefault="00431F44" w:rsidP="00BE5235">
      <w:pPr>
        <w:pStyle w:val="Title"/>
        <w:jc w:val="center"/>
      </w:pPr>
    </w:p>
    <w:p w14:paraId="011A9597" w14:textId="77777777" w:rsidR="00431F44" w:rsidRDefault="00431F44" w:rsidP="00BE5235">
      <w:pPr>
        <w:pStyle w:val="Title"/>
        <w:jc w:val="center"/>
      </w:pPr>
    </w:p>
    <w:p w14:paraId="5EA8CB27" w14:textId="77777777" w:rsidR="00431F44" w:rsidRDefault="00431F44" w:rsidP="00BE5235">
      <w:pPr>
        <w:pStyle w:val="Title"/>
        <w:jc w:val="center"/>
      </w:pPr>
    </w:p>
    <w:p w14:paraId="2053413E" w14:textId="77777777" w:rsidR="00431F44" w:rsidRDefault="00431F44" w:rsidP="00BE5235">
      <w:pPr>
        <w:pStyle w:val="Title"/>
        <w:jc w:val="center"/>
      </w:pPr>
    </w:p>
    <w:p w14:paraId="602900CA" w14:textId="0C868970" w:rsidR="00BE5235" w:rsidRDefault="00BE5235" w:rsidP="00BE5235">
      <w:pPr>
        <w:pStyle w:val="Title"/>
        <w:jc w:val="center"/>
      </w:pPr>
      <w:r>
        <w:t xml:space="preserve">External Signals – Long-Only </w:t>
      </w:r>
      <w:proofErr w:type="spellStart"/>
      <w:r>
        <w:t>Backtest</w:t>
      </w:r>
      <w:proofErr w:type="spellEnd"/>
    </w:p>
    <w:p w14:paraId="20103B2C" w14:textId="77777777" w:rsidR="00BE5235" w:rsidRDefault="00BE5235" w:rsidP="00BE5235">
      <w:pPr>
        <w:jc w:val="center"/>
      </w:pPr>
      <w:r>
        <w:t>Reproducibility Sheet</w:t>
      </w:r>
    </w:p>
    <w:p w14:paraId="29BACF24" w14:textId="77777777" w:rsidR="00BE5235" w:rsidRDefault="00BE5235" w:rsidP="00BE5235"/>
    <w:p w14:paraId="7EA96ED7" w14:textId="77777777" w:rsidR="00BE5235" w:rsidRPr="002246EC" w:rsidRDefault="00BE5235" w:rsidP="002246EC">
      <w:pPr>
        <w:pStyle w:val="Heading1"/>
      </w:pPr>
      <w:bookmarkStart w:id="0" w:name="_Toc207824000"/>
      <w:r w:rsidRPr="002246EC">
        <w:t>Run Metadata</w:t>
      </w:r>
      <w:bookmarkEnd w:id="0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5235" w14:paraId="11F714C0" w14:textId="77777777" w:rsidTr="00CF5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50E3B58" w14:textId="77777777" w:rsidR="00BE5235" w:rsidRDefault="00BE5235" w:rsidP="00E37D81">
            <w:r>
              <w:t>Project/Strategy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4E0787F1" w14:textId="77777777" w:rsidR="00BE5235" w:rsidRDefault="00BE5235" w:rsidP="00E37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ExternalSignalConsumer</w:t>
            </w:r>
            <w:proofErr w:type="spellEnd"/>
            <w:r>
              <w:t xml:space="preserve"> (JSON signals)</w:t>
            </w:r>
          </w:p>
        </w:tc>
      </w:tr>
      <w:tr w:rsidR="00BE5235" w14:paraId="7A53293A" w14:textId="77777777" w:rsidTr="00CF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EE3C851" w14:textId="77777777" w:rsidR="00BE5235" w:rsidRDefault="00BE5235" w:rsidP="00E37D81">
            <w:r>
              <w:t>Run Date (UTC)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1388989B" w14:textId="3AB23A3C" w:rsidR="00BE5235" w:rsidRDefault="00BE5235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  <w:r>
              <w:t>-</w:t>
            </w:r>
            <w:r>
              <w:t>08</w:t>
            </w:r>
            <w:r>
              <w:t>-</w:t>
            </w:r>
            <w:r>
              <w:t>31</w:t>
            </w:r>
          </w:p>
        </w:tc>
      </w:tr>
      <w:tr w:rsidR="00BE5235" w14:paraId="57B369DA" w14:textId="77777777" w:rsidTr="00CF5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63619BBE" w14:textId="77777777" w:rsidR="00BE5235" w:rsidRDefault="00BE5235" w:rsidP="00E37D81">
            <w:proofErr w:type="spellStart"/>
            <w:r>
              <w:t>Backtest</w:t>
            </w:r>
            <w:proofErr w:type="spellEnd"/>
            <w:r>
              <w:t xml:space="preserve"> ID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32A0A3A9" w14:textId="374F9EFA" w:rsidR="00BE5235" w:rsidRDefault="004F37DC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37DC">
              <w:t>baf96736fb206d6ba6154bbd3959f764</w:t>
            </w:r>
          </w:p>
        </w:tc>
      </w:tr>
      <w:tr w:rsidR="00BE5235" w14:paraId="17CC8FFB" w14:textId="77777777" w:rsidTr="00CF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18F0B9C6" w14:textId="77777777" w:rsidR="00BE5235" w:rsidRDefault="00BE5235" w:rsidP="00E37D81">
            <w:r>
              <w:t>Period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661391C8" w14:textId="77777777" w:rsidR="00BE5235" w:rsidRDefault="00BE5235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2024-01-01 → 2024-12-31</w:t>
            </w:r>
          </w:p>
        </w:tc>
      </w:tr>
      <w:tr w:rsidR="00BE5235" w14:paraId="7008DDB0" w14:textId="77777777" w:rsidTr="00CF5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1DBC605C" w14:textId="77777777" w:rsidR="00BE5235" w:rsidRDefault="00BE5235" w:rsidP="00E37D81">
            <w:r>
              <w:t>Starting Cash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5EC96A88" w14:textId="77777777" w:rsidR="00BE5235" w:rsidRDefault="00BE5235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$100,000</w:t>
            </w:r>
          </w:p>
        </w:tc>
      </w:tr>
      <w:tr w:rsidR="00BE5235" w14:paraId="5D35AD7F" w14:textId="77777777" w:rsidTr="00CF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1F2D9390" w14:textId="77777777" w:rsidR="00BE5235" w:rsidRDefault="00BE5235" w:rsidP="00E37D81">
            <w:r>
              <w:t>Brokerage Model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3282C112" w14:textId="77777777" w:rsidR="00BE5235" w:rsidRDefault="00BE5235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Brokers (Margin)</w:t>
            </w:r>
          </w:p>
        </w:tc>
      </w:tr>
      <w:tr w:rsidR="00BE5235" w14:paraId="70E58DA5" w14:textId="77777777" w:rsidTr="00CF5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6F4DD8CB" w14:textId="77777777" w:rsidR="00BE5235" w:rsidRDefault="00BE5235" w:rsidP="00E37D81">
            <w:r>
              <w:t>Slippage Model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1882E706" w14:textId="77777777" w:rsidR="00BE5235" w:rsidRDefault="00BE5235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ConstantSlippageModel</w:t>
            </w:r>
            <w:proofErr w:type="spellEnd"/>
            <w:r>
              <w:t>(</w:t>
            </w:r>
            <w:proofErr w:type="gramEnd"/>
            <w:r>
              <w:t>0.01)</w:t>
            </w:r>
          </w:p>
        </w:tc>
      </w:tr>
      <w:tr w:rsidR="00BE5235" w14:paraId="1C8F6AF5" w14:textId="77777777" w:rsidTr="00CF5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3177E32F" w14:textId="77777777" w:rsidR="00BE5235" w:rsidRDefault="00BE5235" w:rsidP="00E37D81">
            <w:r>
              <w:t>Data Resolution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5F535FCF" w14:textId="77777777" w:rsidR="00BE5235" w:rsidRDefault="00BE5235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Hourly (equities)</w:t>
            </w:r>
          </w:p>
        </w:tc>
      </w:tr>
      <w:tr w:rsidR="00BE5235" w14:paraId="38493DED" w14:textId="77777777" w:rsidTr="00CF5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506FBEA" w14:textId="77777777" w:rsidR="00BE5235" w:rsidRDefault="00BE5235" w:rsidP="00E37D81">
            <w:r>
              <w:t>Engine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37FB21B7" w14:textId="77777777" w:rsidR="00BE5235" w:rsidRDefault="00BE5235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LEAN v2.5.0.0.17267 (QC Cloud)</w:t>
            </w:r>
          </w:p>
        </w:tc>
      </w:tr>
    </w:tbl>
    <w:p w14:paraId="2B1BAF83" w14:textId="77777777" w:rsidR="00BE5235" w:rsidRDefault="00BE5235">
      <w:pPr>
        <w:rPr>
          <w:rFonts w:ascii="Open Sans" w:hAnsi="Open Sans" w:cs="Open Sans"/>
          <w:color w:val="000000"/>
          <w:sz w:val="20"/>
          <w:szCs w:val="20"/>
        </w:rPr>
      </w:pPr>
    </w:p>
    <w:p w14:paraId="312CEA9A" w14:textId="77777777" w:rsidR="00431F44" w:rsidRDefault="00431F44" w:rsidP="00431F44">
      <w:pPr>
        <w:pStyle w:val="NormalWeb"/>
      </w:pPr>
      <w:r>
        <w:rPr>
          <w:rStyle w:val="Strong"/>
          <w:rFonts w:eastAsiaTheme="majorEastAsia"/>
        </w:rPr>
        <w:t>Executive takeaway (1–2 sentences):</w:t>
      </w:r>
      <w:r>
        <w:br/>
        <w:t xml:space="preserve">The strategy consumed PPO signals from an external JSON endpoint and traded UNH/TSLA/TMO long-only at hourly bars. In 2024 it returned </w:t>
      </w:r>
      <w:r>
        <w:rPr>
          <w:rStyle w:val="Strong"/>
          <w:rFonts w:eastAsiaTheme="majorEastAsia"/>
        </w:rPr>
        <w:t>32.52%</w:t>
      </w:r>
      <w:r>
        <w:t xml:space="preserve"> with a </w:t>
      </w:r>
      <w:r>
        <w:rPr>
          <w:rStyle w:val="Strong"/>
          <w:rFonts w:eastAsiaTheme="majorEastAsia"/>
        </w:rPr>
        <w:t>0.7 Sharpe</w:t>
      </w:r>
      <w:r>
        <w:t xml:space="preserve">, </w:t>
      </w:r>
      <w:r>
        <w:rPr>
          <w:rStyle w:val="Strong"/>
          <w:rFonts w:eastAsiaTheme="majorEastAsia"/>
        </w:rPr>
        <w:t>23% max drawdown</w:t>
      </w:r>
      <w:r>
        <w:t xml:space="preserve">, and </w:t>
      </w:r>
      <w:r>
        <w:rPr>
          <w:rStyle w:val="Strong"/>
          <w:rFonts w:eastAsiaTheme="majorEastAsia"/>
        </w:rPr>
        <w:t>1% turnover</w:t>
      </w:r>
      <w:r>
        <w:t>.</w:t>
      </w:r>
    </w:p>
    <w:p w14:paraId="1EB20C9C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3FEBE80D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138552E9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7E56846B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512595B8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7DC0DC75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sdt>
      <w:sdtPr>
        <w:id w:val="11402281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48F188E" w14:textId="00679CE9" w:rsidR="00C12D90" w:rsidRDefault="00C12D90">
          <w:pPr>
            <w:pStyle w:val="TOCHeading"/>
          </w:pPr>
          <w:r>
            <w:t>Table of Contents</w:t>
          </w:r>
        </w:p>
        <w:p w14:paraId="42D49E6C" w14:textId="4525D764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7824000" w:history="1">
            <w:r w:rsidRPr="00EC63AB">
              <w:rPr>
                <w:rStyle w:val="Hyperlink"/>
                <w:noProof/>
              </w:rPr>
              <w:t>Run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8061" w14:textId="3058E0CC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1" w:history="1">
            <w:r w:rsidRPr="00EC63AB">
              <w:rPr>
                <w:rStyle w:val="Hyperlink"/>
                <w:noProof/>
              </w:rPr>
              <w:t>Strategy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FFFB4" w14:textId="09F85366" w:rsidR="00C12D90" w:rsidRDefault="00C12D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7824002" w:history="1">
            <w:r w:rsidRPr="00EC63A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569C" w14:textId="69FE8245" w:rsidR="00C12D90" w:rsidRDefault="00C12D9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7824003" w:history="1">
            <w:r w:rsidRPr="00EC63AB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7DAE" w14:textId="7590461E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4" w:history="1">
            <w:r w:rsidRPr="00EC63AB">
              <w:rPr>
                <w:rStyle w:val="Hyperlink"/>
                <w:noProof/>
              </w:rPr>
              <w:t>Key Statistics &amp; Monthly Returns (Heatmap)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6257" w14:textId="6D28D87E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5" w:history="1">
            <w:r w:rsidRPr="00EC63AB">
              <w:rPr>
                <w:rStyle w:val="Hyperlink"/>
                <w:noProof/>
              </w:rPr>
              <w:t>Cumulative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6D2F" w14:textId="41DFA8B8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6" w:history="1">
            <w:r w:rsidRPr="00EC63AB">
              <w:rPr>
                <w:rStyle w:val="Hyperlink"/>
                <w:noProof/>
              </w:rPr>
              <w:t>Annual Returns, Returns per Trade, and Asset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8C26" w14:textId="3E875FAC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7" w:history="1">
            <w:r w:rsidRPr="00EC63AB">
              <w:rPr>
                <w:rStyle w:val="Hyperlink"/>
                <w:noProof/>
              </w:rPr>
              <w:t>Drawdown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732E" w14:textId="4FD5D706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8" w:history="1">
            <w:r w:rsidRPr="00EC63AB">
              <w:rPr>
                <w:rStyle w:val="Hyperlink"/>
                <w:noProof/>
              </w:rPr>
              <w:t>Daily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A2C6" w14:textId="511542B0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09" w:history="1">
            <w:r w:rsidRPr="00EC63AB">
              <w:rPr>
                <w:rStyle w:val="Hyperlink"/>
                <w:noProof/>
              </w:rPr>
              <w:t>Rolling Sharpe / PSR (if you plot your custom series)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5189" w14:textId="32FA5956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10" w:history="1">
            <w:r w:rsidRPr="00EC63AB">
              <w:rPr>
                <w:rStyle w:val="Hyperlink"/>
                <w:noProof/>
              </w:rPr>
              <w:t>Leverage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B2CF" w14:textId="52220E66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11" w:history="1">
            <w:r w:rsidRPr="00EC63AB">
              <w:rPr>
                <w:rStyle w:val="Hyperlink"/>
                <w:noProof/>
              </w:rPr>
              <w:t>Long–Short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9854" w14:textId="77098B01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12" w:history="1">
            <w:r w:rsidRPr="00EC63AB">
              <w:rPr>
                <w:rStyle w:val="Hyperlink"/>
                <w:noProof/>
              </w:rPr>
              <w:t>Key Results (fill from QC Overview/Report)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7C00" w14:textId="38723904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13" w:history="1">
            <w:r w:rsidRPr="00EC63AB">
              <w:rPr>
                <w:rStyle w:val="Hyperlink"/>
                <w:noProof/>
              </w:rPr>
              <w:t>Parameters (Project → Parameters)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C94B" w14:textId="06AB8C7A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14" w:history="1">
            <w:r w:rsidRPr="00EC63AB">
              <w:rPr>
                <w:rStyle w:val="Hyperlink"/>
                <w:noProof/>
              </w:rPr>
              <w:t>Signal / Execution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0C0C" w14:textId="4F35FFAB" w:rsidR="00C12D90" w:rsidRDefault="00C12D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7824015" w:history="1">
            <w:r w:rsidRPr="00EC63A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D3BC" w14:textId="659E2E6B" w:rsidR="00C12D90" w:rsidRDefault="00C12D90">
          <w:r>
            <w:rPr>
              <w:b/>
              <w:bCs/>
              <w:noProof/>
            </w:rPr>
            <w:fldChar w:fldCharType="end"/>
          </w:r>
        </w:p>
      </w:sdtContent>
    </w:sdt>
    <w:p w14:paraId="3F81BE80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1DB800CD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18A4A2B6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2CFA632F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68FFAA95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385B7DF4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600F65CD" w14:textId="77777777" w:rsidR="00431F44" w:rsidRDefault="00431F44">
      <w:pPr>
        <w:rPr>
          <w:rFonts w:ascii="Open Sans" w:hAnsi="Open Sans" w:cs="Open Sans"/>
          <w:color w:val="000000"/>
          <w:sz w:val="20"/>
          <w:szCs w:val="20"/>
        </w:rPr>
      </w:pPr>
    </w:p>
    <w:p w14:paraId="4711F60C" w14:textId="77777777" w:rsidR="00D22657" w:rsidRDefault="00D22657" w:rsidP="00D22657">
      <w:pPr>
        <w:pStyle w:val="Heading1"/>
      </w:pPr>
      <w:bookmarkStart w:id="1" w:name="_Toc207824001"/>
      <w:r>
        <w:lastRenderedPageBreak/>
        <w:t>Strategy Description</w:t>
      </w:r>
      <w:bookmarkEnd w:id="1"/>
    </w:p>
    <w:p w14:paraId="1718F67D" w14:textId="77777777" w:rsidR="00D22657" w:rsidRDefault="00D22657" w:rsidP="00D22657">
      <w:pPr>
        <w:pStyle w:val="Heading2"/>
      </w:pPr>
      <w:bookmarkStart w:id="2" w:name="_Toc207824002"/>
      <w:r>
        <w:t>Overview</w:t>
      </w:r>
      <w:bookmarkEnd w:id="2"/>
    </w:p>
    <w:p w14:paraId="33B4E1DE" w14:textId="77777777" w:rsidR="00D22657" w:rsidRDefault="00D22657" w:rsidP="00D22657">
      <w:pPr>
        <w:pStyle w:val="NormalWeb"/>
      </w:pPr>
      <w:r>
        <w:t xml:space="preserve">Consumer algorithm for external reinforcement-learning (RL) signals. It polls a public JSON endpoint (GitHub Gist) that serves PPO signals for </w:t>
      </w:r>
      <w:r>
        <w:rPr>
          <w:rStyle w:val="Strong"/>
          <w:rFonts w:eastAsiaTheme="majorEastAsia"/>
        </w:rPr>
        <w:t>UNH</w:t>
      </w:r>
      <w:r>
        <w:t xml:space="preserve">, </w:t>
      </w:r>
      <w:r>
        <w:rPr>
          <w:rStyle w:val="Strong"/>
          <w:rFonts w:eastAsiaTheme="majorEastAsia"/>
        </w:rPr>
        <w:t>TSLA</w:t>
      </w:r>
      <w:r>
        <w:t xml:space="preserve">, and </w:t>
      </w:r>
      <w:r>
        <w:rPr>
          <w:rStyle w:val="Strong"/>
          <w:rFonts w:eastAsiaTheme="majorEastAsia"/>
        </w:rPr>
        <w:t>TMO</w:t>
      </w:r>
      <w:r>
        <w:t xml:space="preserve">, applies a freshness check, converts signals to target weights, and trades at </w:t>
      </w:r>
      <w:r>
        <w:rPr>
          <w:rStyle w:val="Strong"/>
          <w:rFonts w:eastAsiaTheme="majorEastAsia"/>
        </w:rPr>
        <w:t>hourly</w:t>
      </w:r>
      <w:r>
        <w:t xml:space="preserve"> resolution.</w:t>
      </w:r>
    </w:p>
    <w:p w14:paraId="3D49CDED" w14:textId="77777777" w:rsidR="00D22657" w:rsidRDefault="00D22657" w:rsidP="00D22657">
      <w:pPr>
        <w:pStyle w:val="Heading2"/>
      </w:pPr>
      <w:bookmarkStart w:id="3" w:name="_Toc207824003"/>
      <w:r>
        <w:t>How it works</w:t>
      </w:r>
      <w:bookmarkEnd w:id="3"/>
    </w:p>
    <w:p w14:paraId="2B042C21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Signal source</w:t>
      </w:r>
      <w:r>
        <w:t xml:space="preserve"> — Public raw Gist that serves </w:t>
      </w:r>
      <w:proofErr w:type="spellStart"/>
      <w:r>
        <w:rPr>
          <w:rStyle w:val="HTMLCode"/>
          <w:rFonts w:eastAsiaTheme="majorEastAsia"/>
        </w:rPr>
        <w:t>live_</w:t>
      </w:r>
      <w:proofErr w:type="gramStart"/>
      <w:r>
        <w:rPr>
          <w:rStyle w:val="HTMLCode"/>
          <w:rFonts w:eastAsiaTheme="majorEastAsia"/>
        </w:rPr>
        <w:t>signals.json</w:t>
      </w:r>
      <w:proofErr w:type="spellEnd"/>
      <w:proofErr w:type="gramEnd"/>
      <w:r>
        <w:t xml:space="preserve"> produced off-platform (Google </w:t>
      </w:r>
      <w:proofErr w:type="spellStart"/>
      <w:r>
        <w:t>Colab</w:t>
      </w:r>
      <w:proofErr w:type="spellEnd"/>
      <w:r>
        <w:t>).</w:t>
      </w:r>
    </w:p>
    <w:p w14:paraId="5A1DB6BE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Freshness guard</w:t>
      </w:r>
      <w:r>
        <w:t xml:space="preserve"> — Ignore any payload where </w:t>
      </w:r>
      <w:proofErr w:type="spellStart"/>
      <w:r>
        <w:rPr>
          <w:rStyle w:val="Strong"/>
          <w:rFonts w:eastAsiaTheme="majorEastAsia"/>
        </w:rPr>
        <w:t>UtcTime</w:t>
      </w:r>
      <w:proofErr w:type="spellEnd"/>
      <w:r>
        <w:rPr>
          <w:rStyle w:val="Strong"/>
          <w:rFonts w:eastAsiaTheme="majorEastAsia"/>
        </w:rPr>
        <w:t xml:space="preserve"> &gt; </w:t>
      </w:r>
      <w:proofErr w:type="spellStart"/>
      <w:r>
        <w:rPr>
          <w:rStyle w:val="Strong"/>
          <w:rFonts w:eastAsiaTheme="majorEastAsia"/>
        </w:rPr>
        <w:t>valid_until_utc</w:t>
      </w:r>
      <w:proofErr w:type="spellEnd"/>
      <w:r>
        <w:t xml:space="preserve"> (epoch comparison).</w:t>
      </w:r>
    </w:p>
    <w:p w14:paraId="40F87F2D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Universe &amp; data</w:t>
      </w:r>
      <w:r>
        <w:t xml:space="preserve"> — Symbols </w:t>
      </w:r>
      <w:r>
        <w:rPr>
          <w:rStyle w:val="Strong"/>
          <w:rFonts w:eastAsiaTheme="majorEastAsia"/>
        </w:rPr>
        <w:t>UNH, TSLA, TMO</w:t>
      </w:r>
      <w:r>
        <w:t xml:space="preserve"> at </w:t>
      </w:r>
      <w:r>
        <w:rPr>
          <w:rStyle w:val="Strong"/>
          <w:rFonts w:eastAsiaTheme="majorEastAsia"/>
        </w:rPr>
        <w:t>Hourly</w:t>
      </w:r>
      <w:r>
        <w:t xml:space="preserve"> resolution (editable via Project → Parameters).</w:t>
      </w:r>
    </w:p>
    <w:p w14:paraId="1833A742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Signals</w:t>
      </w:r>
      <w:r>
        <w:t xml:space="preserve"> — </w:t>
      </w:r>
      <w:r>
        <w:rPr>
          <w:rStyle w:val="Strong"/>
          <w:rFonts w:eastAsiaTheme="majorEastAsia"/>
        </w:rPr>
        <w:t>BUY / HOLD / SELL</w:t>
      </w:r>
      <w:r>
        <w:t>.</w:t>
      </w:r>
    </w:p>
    <w:p w14:paraId="10A45483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Position sizing</w:t>
      </w:r>
      <w:r>
        <w:t xml:space="preserve"> — Target weight = </w:t>
      </w:r>
      <w:proofErr w:type="gramStart"/>
      <w:r>
        <w:rPr>
          <w:rStyle w:val="Strong"/>
          <w:rFonts w:eastAsiaTheme="majorEastAsia"/>
        </w:rPr>
        <w:t>clamp(</w:t>
      </w:r>
      <w:proofErr w:type="gramEnd"/>
      <w:r>
        <w:rPr>
          <w:rStyle w:val="Strong"/>
          <w:rFonts w:eastAsiaTheme="majorEastAsia"/>
        </w:rPr>
        <w:t>confidence, 0.10–0.50)</w:t>
      </w:r>
      <w:r>
        <w:t xml:space="preserve"> → allocates 10–50% per BUY.</w:t>
      </w:r>
    </w:p>
    <w:p w14:paraId="0B4AEEA6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Trade actions</w:t>
      </w:r>
      <w:r>
        <w:t xml:space="preserve"> — </w:t>
      </w:r>
      <w:r>
        <w:rPr>
          <w:rStyle w:val="Strong"/>
          <w:rFonts w:eastAsiaTheme="majorEastAsia"/>
        </w:rPr>
        <w:t>BUY</w:t>
      </w:r>
      <w:r>
        <w:t xml:space="preserve"> → set target; </w:t>
      </w:r>
      <w:r>
        <w:rPr>
          <w:rStyle w:val="Strong"/>
          <w:rFonts w:eastAsiaTheme="majorEastAsia"/>
        </w:rPr>
        <w:t>SELL</w:t>
      </w:r>
      <w:r>
        <w:t xml:space="preserve"> → </w:t>
      </w:r>
      <w:r>
        <w:rPr>
          <w:rStyle w:val="Strong"/>
          <w:rFonts w:eastAsiaTheme="majorEastAsia"/>
        </w:rPr>
        <w:t>Liquidate</w:t>
      </w:r>
      <w:r>
        <w:t xml:space="preserve">; </w:t>
      </w:r>
      <w:r>
        <w:rPr>
          <w:rStyle w:val="Strong"/>
          <w:rFonts w:eastAsiaTheme="majorEastAsia"/>
        </w:rPr>
        <w:t>HOLD</w:t>
      </w:r>
      <w:r>
        <w:t xml:space="preserve"> → no order.</w:t>
      </w:r>
    </w:p>
    <w:p w14:paraId="54B20D9A" w14:textId="77777777" w:rsidR="00593BA8" w:rsidRDefault="00593BA8" w:rsidP="00593BA8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On-platform modeling</w:t>
      </w:r>
      <w:r>
        <w:t xml:space="preserve"> — None. RL (SB3 / </w:t>
      </w:r>
      <w:proofErr w:type="spellStart"/>
      <w:r>
        <w:t>PyTorch</w:t>
      </w:r>
      <w:proofErr w:type="spellEnd"/>
      <w:r>
        <w:t xml:space="preserve">) runs in </w:t>
      </w:r>
      <w:proofErr w:type="spellStart"/>
      <w:r>
        <w:t>Colab</w:t>
      </w:r>
      <w:proofErr w:type="spellEnd"/>
      <w:r>
        <w:t xml:space="preserve">; </w:t>
      </w:r>
      <w:proofErr w:type="spellStart"/>
      <w:r>
        <w:t>QuantConnect</w:t>
      </w:r>
      <w:proofErr w:type="spellEnd"/>
      <w:r>
        <w:t xml:space="preserve"> only consumes the JSON.</w:t>
      </w:r>
    </w:p>
    <w:p w14:paraId="43B24132" w14:textId="1155162C" w:rsidR="00C957A0" w:rsidRPr="00C957A0" w:rsidRDefault="00C957A0" w:rsidP="00C957A0">
      <w:pPr>
        <w:pStyle w:val="Heading1"/>
      </w:pPr>
      <w:bookmarkStart w:id="4" w:name="_Toc207824004"/>
      <w:r w:rsidRPr="00C957A0">
        <w:rPr>
          <w:b/>
          <w:bCs/>
        </w:rPr>
        <w:t>Key Statistics</w:t>
      </w:r>
      <w:r w:rsidRPr="00C957A0">
        <w:rPr>
          <w:b/>
          <w:bCs/>
        </w:rPr>
        <w:t xml:space="preserve"> &amp;</w:t>
      </w:r>
      <w:r>
        <w:t xml:space="preserve"> </w:t>
      </w:r>
      <w:r w:rsidRPr="00C957A0">
        <w:rPr>
          <w:b/>
          <w:bCs/>
        </w:rPr>
        <w:t>Monthly Returns (Heatmap)</w:t>
      </w:r>
      <w:bookmarkEnd w:id="4"/>
    </w:p>
    <w:p w14:paraId="33F0E1F8" w14:textId="7A361BDB" w:rsidR="00876380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08D78E55" wp14:editId="2744C834">
            <wp:extent cx="5943600" cy="1577340"/>
            <wp:effectExtent l="0" t="0" r="0" b="0"/>
            <wp:docPr id="78048280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280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FB45" w14:textId="77777777" w:rsidR="00C957A0" w:rsidRDefault="00C957A0" w:rsidP="00C957A0">
      <w:pPr>
        <w:pStyle w:val="NormalWeb"/>
      </w:pPr>
      <w:r>
        <w:t>This table summarizes efficiency and risk for the full test window. The strategy delivered ~32% net return with ~22–24% max drawdown, Sharpe ~0.7–0.8, PSR ~43–47%, and ~1% turnover, indicating moderate risk-adjusted performance with low trading intensity (~1.6 trades/day).</w:t>
      </w:r>
    </w:p>
    <w:p w14:paraId="7E8F1705" w14:textId="77777777" w:rsidR="00C957A0" w:rsidRDefault="00C957A0">
      <w:pPr>
        <w:rPr>
          <w:rFonts w:ascii="Open Sans" w:hAnsi="Open Sans" w:cs="Open Sans"/>
          <w:color w:val="000000"/>
          <w:sz w:val="20"/>
          <w:szCs w:val="20"/>
        </w:rPr>
      </w:pPr>
    </w:p>
    <w:p w14:paraId="09B609A1" w14:textId="4955804A" w:rsidR="00662EF3" w:rsidRDefault="00C957A0" w:rsidP="00662EF3">
      <w:pPr>
        <w:pStyle w:val="NormalWeb"/>
      </w:pPr>
      <w:r w:rsidRPr="00C957A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Monthly Returns (Heatmap)</w:t>
      </w:r>
      <w:r>
        <w:br/>
      </w:r>
      <w:r w:rsidR="00662EF3">
        <w:t xml:space="preserve">Returns were negative in Q1–Q2, flat to modest in Q3, and strongly positive in Nov–Dec. The </w:t>
      </w:r>
      <w:r w:rsidR="00662EF3">
        <w:lastRenderedPageBreak/>
        <w:t xml:space="preserve">concentration of gains late in the year explains the modest </w:t>
      </w:r>
      <w:r w:rsidR="00662EF3">
        <w:rPr>
          <w:rStyle w:val="Strong"/>
          <w:rFonts w:eastAsiaTheme="majorEastAsia"/>
        </w:rPr>
        <w:t>Sharpe (0.7)</w:t>
      </w:r>
      <w:r w:rsidR="00662EF3">
        <w:t xml:space="preserve"> despite a solid year-end level.</w:t>
      </w:r>
    </w:p>
    <w:p w14:paraId="59CC2BDE" w14:textId="279C2328" w:rsidR="00C957A0" w:rsidRDefault="00C957A0"/>
    <w:p w14:paraId="0A15803A" w14:textId="1F594E04" w:rsidR="00C957A0" w:rsidRPr="00C957A0" w:rsidRDefault="00C957A0" w:rsidP="00C957A0">
      <w:pPr>
        <w:pStyle w:val="Heading1"/>
      </w:pPr>
      <w:bookmarkStart w:id="5" w:name="_Toc207824005"/>
      <w:r>
        <w:t>Cumulative Returns</w:t>
      </w:r>
      <w:bookmarkEnd w:id="5"/>
    </w:p>
    <w:p w14:paraId="519A7DDE" w14:textId="62DE49C7" w:rsidR="00876380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04C149F0" wp14:editId="5D1AE7B1">
            <wp:extent cx="5943600" cy="1781175"/>
            <wp:effectExtent l="0" t="0" r="0" b="0"/>
            <wp:docPr id="746955508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5508" name="Picture 1" descr="A graph with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206E" w14:textId="038307BA" w:rsidR="00C957A0" w:rsidRDefault="00662EF3" w:rsidP="00C957A0">
      <w:pPr>
        <w:pStyle w:val="NormalWeb"/>
      </w:pPr>
      <w:r>
        <w:t xml:space="preserve">The portfolio trended down through mid-year, then recovered sharply in Q4 as signals aligned with momentum. Final net return </w:t>
      </w:r>
      <w:r>
        <w:rPr>
          <w:rStyle w:val="Strong"/>
          <w:rFonts w:eastAsiaTheme="majorEastAsia"/>
        </w:rPr>
        <w:t>32.52%</w:t>
      </w:r>
      <w:r>
        <w:t xml:space="preserve">; </w:t>
      </w:r>
      <w:r>
        <w:rPr>
          <w:rStyle w:val="Strong"/>
          <w:rFonts w:eastAsiaTheme="majorEastAsia"/>
        </w:rPr>
        <w:t>max drawdown ~23%</w:t>
      </w:r>
      <w:r>
        <w:t xml:space="preserve"> occurred in May–June.</w:t>
      </w:r>
    </w:p>
    <w:p w14:paraId="3F8EDCD8" w14:textId="28A68463" w:rsidR="00C957A0" w:rsidRPr="00C957A0" w:rsidRDefault="00C957A0" w:rsidP="00C957A0">
      <w:pPr>
        <w:pStyle w:val="Heading1"/>
      </w:pPr>
      <w:bookmarkStart w:id="6" w:name="_Toc207824006"/>
      <w:r w:rsidRPr="00C957A0">
        <w:t>Annual Returns</w:t>
      </w:r>
      <w:r w:rsidRPr="00C957A0">
        <w:t xml:space="preserve">, </w:t>
      </w:r>
      <w:r w:rsidRPr="00C957A0">
        <w:t>Returns per Trade</w:t>
      </w:r>
      <w:r w:rsidRPr="00C957A0">
        <w:t xml:space="preserve">, and </w:t>
      </w:r>
      <w:r w:rsidRPr="00C957A0">
        <w:t>Asset Allocation</w:t>
      </w:r>
      <w:bookmarkEnd w:id="6"/>
    </w:p>
    <w:p w14:paraId="6806ED34" w14:textId="77777777" w:rsidR="00C957A0" w:rsidRDefault="00C957A0">
      <w:pPr>
        <w:rPr>
          <w:rFonts w:ascii="Open Sans" w:hAnsi="Open Sans" w:cs="Open Sans"/>
          <w:color w:val="000000"/>
          <w:sz w:val="20"/>
          <w:szCs w:val="20"/>
        </w:rPr>
      </w:pPr>
    </w:p>
    <w:p w14:paraId="1FEE79E4" w14:textId="0DED2FE4" w:rsidR="00876380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5F52F400" wp14:editId="336D09E3">
            <wp:extent cx="5943600" cy="1804670"/>
            <wp:effectExtent l="0" t="0" r="0" b="0"/>
            <wp:docPr id="756231273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31273" name="Picture 1" descr="A graph of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7AA4" w14:textId="77777777" w:rsidR="00C957A0" w:rsidRDefault="00C957A0" w:rsidP="00C957A0">
      <w:pPr>
        <w:pStyle w:val="NormalWeb"/>
      </w:pPr>
      <w:r>
        <w:t>Calendar-year P&amp;L is positive for 2024, driven primarily by the Q4 rally. Earlier drawdowns were fully recovered by year-end.</w:t>
      </w:r>
    </w:p>
    <w:p w14:paraId="2816FECA" w14:textId="77777777" w:rsidR="00C957A0" w:rsidRDefault="00C957A0" w:rsidP="00C957A0">
      <w:pPr>
        <w:pStyle w:val="NormalWeb"/>
      </w:pPr>
      <w:r>
        <w:t>The trade-level return distribution is skewed to the right: many small outcomes clustered near zero with a thinner tail of outsized winners. This is typical for confidence-weighted, long-only execution that cuts losers quickly and lets winners run.</w:t>
      </w:r>
    </w:p>
    <w:p w14:paraId="546F36D3" w14:textId="77777777" w:rsidR="00C957A0" w:rsidRDefault="00C957A0" w:rsidP="00C957A0">
      <w:pPr>
        <w:pStyle w:val="NormalWeb"/>
      </w:pPr>
      <w:r>
        <w:lastRenderedPageBreak/>
        <w:t xml:space="preserve">Exposure is limited to the three tracked equities (UNH, TSLA, TMO). Weights vary with the external signal’s confidence, so concentration shifts over time rather than remaining </w:t>
      </w:r>
      <w:proofErr w:type="gramStart"/>
      <w:r>
        <w:t>equal-weight</w:t>
      </w:r>
      <w:proofErr w:type="gramEnd"/>
      <w:r>
        <w:t>.</w:t>
      </w:r>
    </w:p>
    <w:p w14:paraId="1C102758" w14:textId="24EC10D2" w:rsidR="00C957A0" w:rsidRPr="00C957A0" w:rsidRDefault="00C957A0" w:rsidP="00C957A0">
      <w:pPr>
        <w:pStyle w:val="Heading1"/>
      </w:pPr>
      <w:bookmarkStart w:id="7" w:name="_Toc207824007"/>
      <w:r w:rsidRPr="00C957A0">
        <w:rPr>
          <w:b/>
          <w:bCs/>
        </w:rPr>
        <w:t>Drawdown</w:t>
      </w:r>
      <w:bookmarkEnd w:id="7"/>
    </w:p>
    <w:p w14:paraId="0811F07A" w14:textId="534AD93C" w:rsidR="00876380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797CC6DC" wp14:editId="30520A3A">
            <wp:extent cx="5943600" cy="1762125"/>
            <wp:effectExtent l="0" t="0" r="0" b="3175"/>
            <wp:docPr id="1915223103" name="Picture 1" descr="A graph showing the number of months and mon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23103" name="Picture 1" descr="A graph showing the number of months and month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4737" w14:textId="2629F60F" w:rsidR="00C957A0" w:rsidRDefault="00C957A0">
      <w:r>
        <w:t xml:space="preserve"> </w:t>
      </w:r>
      <w:r>
        <w:t xml:space="preserve">“Peak-to-trough equity drawdowns using end-of-day values. Max drawdown ≈ </w:t>
      </w:r>
      <w:r>
        <w:rPr>
          <w:rStyle w:val="Strong"/>
        </w:rPr>
        <w:t>22.3%</w:t>
      </w:r>
      <w:r>
        <w:t>; this is the primary downside risk bound observed.”</w:t>
      </w:r>
    </w:p>
    <w:p w14:paraId="56E2020F" w14:textId="40BCBCE5" w:rsidR="00C957A0" w:rsidRPr="00C957A0" w:rsidRDefault="00C957A0" w:rsidP="00C957A0">
      <w:pPr>
        <w:pStyle w:val="Heading1"/>
      </w:pPr>
      <w:bookmarkStart w:id="8" w:name="_Toc207824008"/>
      <w:r>
        <w:t>Daily Returns</w:t>
      </w:r>
      <w:bookmarkEnd w:id="8"/>
    </w:p>
    <w:p w14:paraId="17CA0C2E" w14:textId="7D24A903" w:rsidR="00876380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0274C23B" wp14:editId="492114FD">
            <wp:extent cx="5943600" cy="1788160"/>
            <wp:effectExtent l="0" t="0" r="0" b="2540"/>
            <wp:docPr id="188923083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0834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F420" w14:textId="77777777" w:rsidR="00662EF3" w:rsidRDefault="00662EF3" w:rsidP="00662EF3">
      <w:pPr>
        <w:pStyle w:val="NormalWeb"/>
      </w:pPr>
      <w:r>
        <w:t xml:space="preserve">Most days cluster within ±2%; a handful of outliers correspond to earnings- and market-gap days (TSLA/UNH). The distribution is </w:t>
      </w:r>
      <w:proofErr w:type="gramStart"/>
      <w:r>
        <w:t>right-skewed</w:t>
      </w:r>
      <w:proofErr w:type="gramEnd"/>
      <w:r>
        <w:t xml:space="preserve"> with limited large down days post-September.</w:t>
      </w:r>
    </w:p>
    <w:p w14:paraId="7B24DC00" w14:textId="3B3C825C" w:rsidR="00C957A0" w:rsidRPr="00C957A0" w:rsidRDefault="00C957A0" w:rsidP="00C957A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07824009"/>
      <w:r w:rsidRPr="00C957A0">
        <w:rPr>
          <w:b/>
          <w:bCs/>
        </w:rPr>
        <w:t>Rolling Sharpe / PSR</w:t>
      </w:r>
      <w:r>
        <w:rPr>
          <w:b/>
          <w:bCs/>
        </w:rPr>
        <w:t xml:space="preserve"> </w:t>
      </w:r>
      <w:r>
        <w:t>(if you plot your custom series)</w:t>
      </w:r>
      <w:bookmarkEnd w:id="9"/>
    </w:p>
    <w:p w14:paraId="1038DD3A" w14:textId="77777777" w:rsidR="00C957A0" w:rsidRDefault="00C957A0">
      <w:pPr>
        <w:rPr>
          <w:rFonts w:ascii="Open Sans" w:hAnsi="Open Sans" w:cs="Open Sans"/>
          <w:color w:val="000000"/>
          <w:sz w:val="20"/>
          <w:szCs w:val="20"/>
        </w:rPr>
      </w:pPr>
    </w:p>
    <w:p w14:paraId="22605E77" w14:textId="7D4AA918" w:rsidR="00C957A0" w:rsidRDefault="00876380">
      <w:r w:rsidRPr="00876380">
        <w:rPr>
          <w:rFonts w:ascii="Open Sans" w:hAnsi="Open Sans" w:cs="Open Sans"/>
          <w:color w:val="000000"/>
          <w:sz w:val="20"/>
          <w:szCs w:val="20"/>
        </w:rPr>
        <w:lastRenderedPageBreak/>
        <w:drawing>
          <wp:inline distT="0" distB="0" distL="0" distR="0" wp14:anchorId="686ED31A" wp14:editId="76574BED">
            <wp:extent cx="5943600" cy="1733550"/>
            <wp:effectExtent l="0" t="0" r="0" b="6350"/>
            <wp:docPr id="1204596683" name="Picture 1" descr="A graph showing the growt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6683" name="Picture 1" descr="A graph showing the growth of a stock mark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7A0">
        <w:br/>
        <w:t xml:space="preserve">“Rolling Sharpe (daily returns, annualized) and Probabilistic Sharpe Ratio vs 0. Current PSR ≈ </w:t>
      </w:r>
      <w:r w:rsidR="00C957A0">
        <w:rPr>
          <w:rStyle w:val="Strong"/>
        </w:rPr>
        <w:t>47%</w:t>
      </w:r>
      <w:r w:rsidR="00C957A0">
        <w:t>, indicating moderate confidence Sharpe &gt; 0.”</w:t>
      </w:r>
    </w:p>
    <w:p w14:paraId="7BB53DDB" w14:textId="04B8570A" w:rsidR="00C957A0" w:rsidRPr="005941FE" w:rsidRDefault="005941FE" w:rsidP="005941FE">
      <w:pPr>
        <w:pStyle w:val="Heading1"/>
      </w:pPr>
      <w:bookmarkStart w:id="10" w:name="_Toc207824010"/>
      <w:r>
        <w:t>Leverage</w:t>
      </w:r>
      <w:bookmarkEnd w:id="10"/>
    </w:p>
    <w:p w14:paraId="2CDEB1CA" w14:textId="5E11F657" w:rsidR="00876380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722455AC" wp14:editId="71F3065B">
            <wp:extent cx="5943600" cy="1750060"/>
            <wp:effectExtent l="0" t="0" r="0" b="2540"/>
            <wp:docPr id="532455520" name="Picture 1" descr="A blu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55520" name="Picture 1" descr="A blue rectangular object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0C16" w14:textId="77777777" w:rsidR="00662EF3" w:rsidRDefault="00662EF3" w:rsidP="00662EF3">
      <w:pPr>
        <w:pStyle w:val="NormalWeb"/>
      </w:pPr>
      <w:r>
        <w:t xml:space="preserve">Gross exposure stayed near </w:t>
      </w:r>
      <w:r>
        <w:rPr>
          <w:rStyle w:val="Strong"/>
          <w:rFonts w:eastAsiaTheme="majorEastAsia"/>
        </w:rPr>
        <w:t>0.50</w:t>
      </w:r>
      <w:r>
        <w:t xml:space="preserve"> by design (confidence-clamped sizing plus a cash buffer). There were no periods of leverage expansion.</w:t>
      </w:r>
    </w:p>
    <w:p w14:paraId="0AB8E414" w14:textId="77777777" w:rsidR="005941FE" w:rsidRDefault="005941FE" w:rsidP="005941FE">
      <w:pPr>
        <w:pStyle w:val="Heading1"/>
      </w:pPr>
      <w:bookmarkStart w:id="11" w:name="_Toc207824011"/>
      <w:r>
        <w:t>Long–Short Exposure</w:t>
      </w:r>
      <w:bookmarkEnd w:id="11"/>
    </w:p>
    <w:p w14:paraId="72BE7DA6" w14:textId="77777777" w:rsidR="00C957A0" w:rsidRDefault="00C957A0">
      <w:pPr>
        <w:rPr>
          <w:rFonts w:ascii="Open Sans" w:hAnsi="Open Sans" w:cs="Open Sans"/>
          <w:color w:val="000000"/>
          <w:sz w:val="20"/>
          <w:szCs w:val="20"/>
        </w:rPr>
      </w:pPr>
    </w:p>
    <w:p w14:paraId="4C4BDAFA" w14:textId="76617FEA" w:rsidR="001E5F36" w:rsidRDefault="00876380">
      <w:pPr>
        <w:rPr>
          <w:rFonts w:ascii="Open Sans" w:hAnsi="Open Sans" w:cs="Open Sans"/>
          <w:color w:val="000000"/>
          <w:sz w:val="20"/>
          <w:szCs w:val="20"/>
        </w:rPr>
      </w:pPr>
      <w:r w:rsidRPr="00876380">
        <w:rPr>
          <w:rFonts w:ascii="Open Sans" w:hAnsi="Open Sans" w:cs="Open Sans"/>
          <w:color w:val="000000"/>
          <w:sz w:val="20"/>
          <w:szCs w:val="20"/>
        </w:rPr>
        <w:drawing>
          <wp:inline distT="0" distB="0" distL="0" distR="0" wp14:anchorId="131E3D66" wp14:editId="2795EB8C">
            <wp:extent cx="5943600" cy="1731010"/>
            <wp:effectExtent l="0" t="0" r="0" b="0"/>
            <wp:docPr id="98225916" name="Picture 1" descr="A graph with numbers and a number of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916" name="Picture 1" descr="A graph with numbers and a number of day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CCDD" w14:textId="7752272C" w:rsidR="005941FE" w:rsidRDefault="00662EF3" w:rsidP="00662EF3">
      <w:pPr>
        <w:pStyle w:val="NormalWeb"/>
      </w:pPr>
      <w:r>
        <w:lastRenderedPageBreak/>
        <w:t xml:space="preserve">Net exposure remained positive throughout; SELL signals moved positions to </w:t>
      </w:r>
      <w:r>
        <w:rPr>
          <w:rStyle w:val="Strong"/>
          <w:rFonts w:eastAsiaTheme="majorEastAsia"/>
        </w:rPr>
        <w:t>flat</w:t>
      </w:r>
      <w:r>
        <w:t xml:space="preserve"> rather than short, limiting whipsaw losses but capping opportunity in downtrends.</w:t>
      </w:r>
    </w:p>
    <w:p w14:paraId="37E77E21" w14:textId="77777777" w:rsidR="00662EF3" w:rsidRPr="002246EC" w:rsidRDefault="00662EF3" w:rsidP="00662EF3">
      <w:pPr>
        <w:pStyle w:val="Heading1"/>
      </w:pPr>
      <w:bookmarkStart w:id="12" w:name="_Toc207824012"/>
      <w:r w:rsidRPr="002246EC">
        <w:t>Key Results (fill from QC Overview/Report)</w:t>
      </w:r>
      <w:bookmarkEnd w:id="12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EF3" w:rsidRPr="004F37DC" w14:paraId="5B8667AC" w14:textId="77777777" w:rsidTr="00E37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6DE7AF9" w14:textId="77777777" w:rsidR="00662EF3" w:rsidRDefault="00662EF3" w:rsidP="00E37D81">
            <w:r>
              <w:t>Net Return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60208B21" w14:textId="77777777" w:rsidR="00662EF3" w:rsidRDefault="00662EF3" w:rsidP="00E37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32.52 %</w:t>
            </w:r>
          </w:p>
        </w:tc>
      </w:tr>
      <w:tr w:rsidR="00662EF3" w:rsidRPr="004F37DC" w14:paraId="1CC2EFCF" w14:textId="77777777" w:rsidTr="00E3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E4426E5" w14:textId="77777777" w:rsidR="00662EF3" w:rsidRDefault="00662EF3" w:rsidP="00E37D81">
            <w:r>
              <w:t>Max Drawdown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2795113C" w14:textId="2A01A32B" w:rsidR="00662EF3" w:rsidRDefault="0056427B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</w:t>
            </w:r>
            <w:r w:rsidR="00662EF3">
              <w:t>22.29 %</w:t>
            </w:r>
          </w:p>
        </w:tc>
      </w:tr>
      <w:tr w:rsidR="00662EF3" w:rsidRPr="004F37DC" w14:paraId="2315927E" w14:textId="77777777" w:rsidTr="00E37D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7D7696D6" w14:textId="77777777" w:rsidR="00662EF3" w:rsidRDefault="00662EF3" w:rsidP="00E37D81">
            <w:r>
              <w:t>Sharpe Ratio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49858A40" w14:textId="33886A33" w:rsidR="00662EF3" w:rsidRDefault="0056427B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7.00%</w:t>
            </w:r>
          </w:p>
        </w:tc>
      </w:tr>
      <w:tr w:rsidR="00662EF3" w:rsidRPr="004F37DC" w14:paraId="1615916E" w14:textId="77777777" w:rsidTr="00E3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0DA1AC11" w14:textId="77777777" w:rsidR="00662EF3" w:rsidRDefault="00662EF3" w:rsidP="00E37D81">
            <w:r>
              <w:t>PSR (Sharpe &gt; 0)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0E52B5CF" w14:textId="54DE443E" w:rsidR="00662EF3" w:rsidRDefault="0056427B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</w:t>
            </w:r>
            <w:r w:rsidR="00662EF3">
              <w:t>47.25%</w:t>
            </w:r>
          </w:p>
        </w:tc>
      </w:tr>
      <w:tr w:rsidR="00662EF3" w:rsidRPr="004F37DC" w14:paraId="06BE1443" w14:textId="77777777" w:rsidTr="00E37D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5478EA86" w14:textId="77777777" w:rsidR="00662EF3" w:rsidRDefault="00662EF3" w:rsidP="00E37D81">
            <w:r>
              <w:t>Fees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3DC9EE0C" w14:textId="760A2B3A" w:rsidR="00662EF3" w:rsidRDefault="00662EF3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$876</w:t>
            </w:r>
            <w:r w:rsidR="0056427B">
              <w:t>.00</w:t>
            </w:r>
          </w:p>
        </w:tc>
      </w:tr>
      <w:tr w:rsidR="00662EF3" w:rsidRPr="004F37DC" w14:paraId="425B6B1A" w14:textId="77777777" w:rsidTr="00E3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51BEFE8" w14:textId="77777777" w:rsidR="00662EF3" w:rsidRDefault="00662EF3" w:rsidP="00E37D81">
            <w:r>
              <w:t>Turnover (optional)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5BCF7F81" w14:textId="1CB43B0F" w:rsidR="00662EF3" w:rsidRDefault="00662EF3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1 </w:t>
            </w:r>
            <w:r w:rsidR="0056427B">
              <w:t>.00</w:t>
            </w:r>
            <w:r>
              <w:t>%</w:t>
            </w:r>
          </w:p>
        </w:tc>
      </w:tr>
    </w:tbl>
    <w:p w14:paraId="4D8530A1" w14:textId="77777777" w:rsidR="00593BA8" w:rsidRPr="002246EC" w:rsidRDefault="00593BA8" w:rsidP="00593BA8">
      <w:pPr>
        <w:pStyle w:val="Heading1"/>
      </w:pPr>
      <w:bookmarkStart w:id="13" w:name="_Toc207824013"/>
      <w:r w:rsidRPr="002246EC">
        <w:t>Parameters (Project → Parameters)</w:t>
      </w:r>
      <w:bookmarkEnd w:id="13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3BA8" w14:paraId="3B57FE72" w14:textId="77777777" w:rsidTr="00E37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09A76F12" w14:textId="77777777" w:rsidR="00593BA8" w:rsidRDefault="00593BA8" w:rsidP="00E37D81">
            <w:r>
              <w:t>Mode</w:t>
            </w:r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775CB9FC" w14:textId="77777777" w:rsidR="00593BA8" w:rsidRDefault="00593BA8" w:rsidP="00E37D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json</w:t>
            </w:r>
            <w:proofErr w:type="spellEnd"/>
            <w:r>
              <w:t>-live</w:t>
            </w:r>
          </w:p>
        </w:tc>
      </w:tr>
      <w:tr w:rsidR="00593BA8" w14:paraId="286950A7" w14:textId="77777777" w:rsidTr="00E3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39C925AB" w14:textId="77777777" w:rsidR="00593BA8" w:rsidRDefault="00593BA8" w:rsidP="00E37D81">
            <w:r>
              <w:t>Symbols</w:t>
            </w:r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74B6EB2F" w14:textId="77777777" w:rsidR="00593BA8" w:rsidRDefault="00593BA8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UNH, TSLA, TMO</w:t>
            </w:r>
          </w:p>
        </w:tc>
      </w:tr>
      <w:tr w:rsidR="00593BA8" w14:paraId="6E1C0B87" w14:textId="77777777" w:rsidTr="00E37D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6B47E3C4" w14:textId="77777777" w:rsidR="00593BA8" w:rsidRDefault="00593BA8" w:rsidP="00E37D81">
            <w:proofErr w:type="spellStart"/>
            <w:r>
              <w:t>PollingMinutes</w:t>
            </w:r>
            <w:proofErr w:type="spellEnd"/>
          </w:p>
        </w:tc>
        <w:tc>
          <w:tcPr>
            <w:tcW w:w="4320" w:type="dxa"/>
            <w:tcBorders>
              <w:top w:val="single" w:sz="8" w:space="0" w:color="156082" w:themeColor="accent1"/>
              <w:left w:val="single" w:sz="4" w:space="0" w:color="auto"/>
              <w:bottom w:val="single" w:sz="8" w:space="0" w:color="156082" w:themeColor="accent1"/>
            </w:tcBorders>
          </w:tcPr>
          <w:p w14:paraId="3FF9D2E2" w14:textId="77777777" w:rsidR="00593BA8" w:rsidRDefault="00593BA8" w:rsidP="00E37D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593BA8" w14:paraId="6A0E6700" w14:textId="77777777" w:rsidTr="00E3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single" w:sz="4" w:space="0" w:color="auto"/>
            </w:tcBorders>
          </w:tcPr>
          <w:p w14:paraId="44F33BAB" w14:textId="77777777" w:rsidR="00593BA8" w:rsidRDefault="00593BA8" w:rsidP="00E37D81">
            <w:proofErr w:type="spellStart"/>
            <w:r>
              <w:t>SignalsUrl</w:t>
            </w:r>
            <w:proofErr w:type="spellEnd"/>
          </w:p>
        </w:tc>
        <w:tc>
          <w:tcPr>
            <w:tcW w:w="4320" w:type="dxa"/>
            <w:tcBorders>
              <w:left w:val="single" w:sz="4" w:space="0" w:color="auto"/>
            </w:tcBorders>
          </w:tcPr>
          <w:p w14:paraId="4244F240" w14:textId="77777777" w:rsidR="00593BA8" w:rsidRDefault="00593BA8" w:rsidP="00E37D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prod  (</w:t>
            </w:r>
            <w:proofErr w:type="gramEnd"/>
            <w:r>
              <w:t>alias; real URL kept private)</w:t>
            </w:r>
          </w:p>
        </w:tc>
      </w:tr>
    </w:tbl>
    <w:p w14:paraId="11BCCDFE" w14:textId="77777777" w:rsidR="00593BA8" w:rsidRDefault="00593BA8" w:rsidP="00593BA8">
      <w:pPr>
        <w:pStyle w:val="Heading1"/>
      </w:pPr>
    </w:p>
    <w:p w14:paraId="499D93B8" w14:textId="41361F4C" w:rsidR="00662EF3" w:rsidRDefault="00593BA8" w:rsidP="00593BA8">
      <w:pPr>
        <w:pStyle w:val="Heading1"/>
      </w:pPr>
      <w:bookmarkStart w:id="14" w:name="_Toc207824014"/>
      <w:r w:rsidRPr="002246EC">
        <w:t>Signal / Execution Notes</w:t>
      </w:r>
      <w:bookmarkEnd w:id="14"/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410"/>
        <w:gridCol w:w="1800"/>
        <w:gridCol w:w="2070"/>
        <w:gridCol w:w="2965"/>
      </w:tblGrid>
      <w:tr w:rsidR="00593BA8" w14:paraId="5DF806A7" w14:textId="77777777" w:rsidTr="00593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05" w:type="dxa"/>
          </w:tcPr>
          <w:p w14:paraId="7CF1CEA9" w14:textId="6D25513C" w:rsidR="00B14D73" w:rsidRDefault="00B14D73" w:rsidP="00662EF3">
            <w:pPr>
              <w:pStyle w:val="NormalWeb"/>
            </w:pPr>
            <w:r>
              <w:t>Parameter</w:t>
            </w:r>
          </w:p>
        </w:tc>
        <w:tc>
          <w:tcPr>
            <w:tcW w:w="1410" w:type="dxa"/>
          </w:tcPr>
          <w:p w14:paraId="63921BF5" w14:textId="5F83B01A" w:rsidR="00B14D73" w:rsidRDefault="00B14D73" w:rsidP="00662EF3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1800" w:type="dxa"/>
          </w:tcPr>
          <w:p w14:paraId="77477BDD" w14:textId="214B79C8" w:rsidR="00B14D73" w:rsidRDefault="00B14D73" w:rsidP="00662EF3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070" w:type="dxa"/>
          </w:tcPr>
          <w:p w14:paraId="0C67C2C7" w14:textId="67FC0340" w:rsidR="00B14D73" w:rsidRDefault="00B14D73" w:rsidP="00662EF3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965" w:type="dxa"/>
          </w:tcPr>
          <w:p w14:paraId="03A7F894" w14:textId="4811AC86" w:rsidR="00B14D73" w:rsidRDefault="00B14D73" w:rsidP="00662EF3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93BA8" w14:paraId="368B84D7" w14:textId="77777777" w:rsidTr="00593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14:paraId="0F241A0D" w14:textId="6E6BF802" w:rsidR="00B14D73" w:rsidRDefault="00B14D73" w:rsidP="00662EF3">
            <w:pPr>
              <w:pStyle w:val="NormalWeb"/>
            </w:pPr>
            <w:r>
              <w:t>Mode</w:t>
            </w:r>
          </w:p>
        </w:tc>
        <w:tc>
          <w:tcPr>
            <w:tcW w:w="1410" w:type="dxa"/>
          </w:tcPr>
          <w:p w14:paraId="77080EFB" w14:textId="3D032E99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json</w:t>
            </w:r>
            <w:proofErr w:type="spellEnd"/>
            <w:r>
              <w:t>-live</w:t>
            </w:r>
          </w:p>
        </w:tc>
        <w:tc>
          <w:tcPr>
            <w:tcW w:w="1800" w:type="dxa"/>
          </w:tcPr>
          <w:p w14:paraId="0B339E1C" w14:textId="05D9A84D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enum</w:t>
            </w:r>
            <w:proofErr w:type="spellEnd"/>
            <w:r>
              <w:t xml:space="preserve"> {</w:t>
            </w:r>
            <w:proofErr w:type="spellStart"/>
            <w:r>
              <w:t>json</w:t>
            </w:r>
            <w:proofErr w:type="spellEnd"/>
            <w:r>
              <w:t xml:space="preserve">-live, </w:t>
            </w:r>
            <w:proofErr w:type="spellStart"/>
            <w:r>
              <w:t>json</w:t>
            </w:r>
            <w:proofErr w:type="spellEnd"/>
            <w:r>
              <w:t>-ignore-time}</w:t>
            </w:r>
          </w:p>
        </w:tc>
        <w:tc>
          <w:tcPr>
            <w:tcW w:w="2070" w:type="dxa"/>
          </w:tcPr>
          <w:p w14:paraId="56455370" w14:textId="4B41FF09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json</w:t>
            </w:r>
            <w:proofErr w:type="spellEnd"/>
            <w:r>
              <w:t>-live</w:t>
            </w:r>
          </w:p>
        </w:tc>
        <w:tc>
          <w:tcPr>
            <w:tcW w:w="2965" w:type="dxa"/>
          </w:tcPr>
          <w:p w14:paraId="3C9EE387" w14:textId="2859A6FF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Honors </w:t>
            </w:r>
            <w:proofErr w:type="spellStart"/>
            <w:r>
              <w:rPr>
                <w:rStyle w:val="HTMLCode"/>
                <w:rFonts w:eastAsiaTheme="majorEastAsia"/>
              </w:rPr>
              <w:t>valid_until_utc</w:t>
            </w:r>
            <w:proofErr w:type="spellEnd"/>
            <w:r>
              <w:t xml:space="preserve">; </w:t>
            </w:r>
            <w:proofErr w:type="spellStart"/>
            <w:r>
              <w:rPr>
                <w:rStyle w:val="HTMLCode"/>
                <w:rFonts w:eastAsiaTheme="majorEastAsia"/>
              </w:rPr>
              <w:t>json</w:t>
            </w:r>
            <w:proofErr w:type="spellEnd"/>
            <w:r>
              <w:rPr>
                <w:rStyle w:val="HTMLCode"/>
                <w:rFonts w:eastAsiaTheme="majorEastAsia"/>
              </w:rPr>
              <w:t>-ignore-time</w:t>
            </w:r>
            <w:r>
              <w:t xml:space="preserve"> skips staleness check.</w:t>
            </w:r>
          </w:p>
        </w:tc>
      </w:tr>
      <w:tr w:rsidR="00593BA8" w14:paraId="507396BA" w14:textId="77777777" w:rsidTr="00593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"/>
            </w:tblGrid>
            <w:tr w:rsidR="00B14D73" w:rsidRPr="00B14D73" w14:paraId="16BAA277" w14:textId="77777777" w:rsidTr="00593BA8">
              <w:trPr>
                <w:tblCellSpacing w:w="15" w:type="dxa"/>
              </w:trPr>
              <w:tc>
                <w:tcPr>
                  <w:tcW w:w="829" w:type="dxa"/>
                  <w:vAlign w:val="center"/>
                  <w:hideMark/>
                </w:tcPr>
                <w:p w14:paraId="3D4B8F06" w14:textId="77777777" w:rsidR="00B14D73" w:rsidRPr="00B14D73" w:rsidRDefault="00B14D73" w:rsidP="00B14D73">
                  <w:pPr>
                    <w:pStyle w:val="NormalWeb"/>
                  </w:pPr>
                  <w:r w:rsidRPr="00B14D73">
                    <w:rPr>
                      <w:b/>
                      <w:bCs/>
                    </w:rPr>
                    <w:t>Symbols</w:t>
                  </w:r>
                </w:p>
              </w:tc>
            </w:tr>
          </w:tbl>
          <w:p w14:paraId="10F76089" w14:textId="77777777" w:rsidR="00B14D73" w:rsidRPr="00B14D73" w:rsidRDefault="00B14D73" w:rsidP="00B14D73">
            <w:pPr>
              <w:pStyle w:val="NormalWeb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14D73" w:rsidRPr="00B14D73" w14:paraId="7C01AF28" w14:textId="77777777" w:rsidTr="00593BA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3F2F2C" w14:textId="77777777" w:rsidR="00B14D73" w:rsidRPr="00B14D73" w:rsidRDefault="00B14D73" w:rsidP="00B14D73">
                  <w:pPr>
                    <w:pStyle w:val="NormalWeb"/>
                  </w:pPr>
                </w:p>
              </w:tc>
            </w:tr>
          </w:tbl>
          <w:p w14:paraId="2173FAEF" w14:textId="77777777" w:rsidR="00B14D73" w:rsidRDefault="00B14D73" w:rsidP="00662EF3">
            <w:pPr>
              <w:pStyle w:val="NormalWeb"/>
            </w:pPr>
          </w:p>
        </w:tc>
        <w:tc>
          <w:tcPr>
            <w:tcW w:w="1410" w:type="dxa"/>
          </w:tcPr>
          <w:p w14:paraId="796E5998" w14:textId="48C504E8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UNH, TSLA, TMO</w:t>
            </w:r>
          </w:p>
        </w:tc>
        <w:tc>
          <w:tcPr>
            <w:tcW w:w="1800" w:type="dxa"/>
          </w:tcPr>
          <w:p w14:paraId="197013F5" w14:textId="52F5354F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CSV (tickers)</w:t>
            </w:r>
          </w:p>
        </w:tc>
        <w:tc>
          <w:tcPr>
            <w:tcW w:w="2070" w:type="dxa"/>
          </w:tcPr>
          <w:p w14:paraId="7BBA5BAB" w14:textId="6B673A8D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UNH,TSLA</w:t>
            </w:r>
            <w:proofErr w:type="gramEnd"/>
            <w:r>
              <w:t>,TMO</w:t>
            </w:r>
          </w:p>
        </w:tc>
        <w:tc>
          <w:tcPr>
            <w:tcW w:w="2965" w:type="dxa"/>
          </w:tcPr>
          <w:p w14:paraId="375B9BC5" w14:textId="33CD0A08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Case-insensitive; spaces optional.</w:t>
            </w:r>
          </w:p>
        </w:tc>
      </w:tr>
      <w:tr w:rsidR="00593BA8" w14:paraId="04D119B1" w14:textId="77777777" w:rsidTr="00593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14:paraId="7D6A4651" w14:textId="3C95B1FF" w:rsidR="00B14D73" w:rsidRDefault="00B14D73" w:rsidP="00662EF3">
            <w:pPr>
              <w:pStyle w:val="NormalWeb"/>
            </w:pPr>
            <w:proofErr w:type="spellStart"/>
            <w:r>
              <w:t>PollingMinutes</w:t>
            </w:r>
            <w:proofErr w:type="spellEnd"/>
          </w:p>
        </w:tc>
        <w:tc>
          <w:tcPr>
            <w:tcW w:w="1410" w:type="dxa"/>
          </w:tcPr>
          <w:p w14:paraId="71188F14" w14:textId="1A11FF07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800" w:type="dxa"/>
          </w:tcPr>
          <w:p w14:paraId="5635E3A2" w14:textId="1341B7EC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(minutes)</w:t>
            </w:r>
          </w:p>
        </w:tc>
        <w:tc>
          <w:tcPr>
            <w:tcW w:w="2070" w:type="dxa"/>
          </w:tcPr>
          <w:p w14:paraId="6C6A90F2" w14:textId="11B524A6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965" w:type="dxa"/>
          </w:tcPr>
          <w:p w14:paraId="4F477E9D" w14:textId="5E0EFCD0" w:rsidR="00B14D73" w:rsidRDefault="00B14D73" w:rsidP="00662EF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Poll cadence for JSON endpoint; scheduled hourly.</w:t>
            </w:r>
          </w:p>
        </w:tc>
      </w:tr>
      <w:tr w:rsidR="00593BA8" w14:paraId="27F1B916" w14:textId="77777777" w:rsidTr="00593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</w:tcPr>
          <w:p w14:paraId="64D347CE" w14:textId="2C8E84BE" w:rsidR="00B14D73" w:rsidRDefault="00B14D73" w:rsidP="00662EF3">
            <w:pPr>
              <w:pStyle w:val="NormalWeb"/>
            </w:pPr>
            <w:proofErr w:type="spellStart"/>
            <w:r>
              <w:t>SignalsUrl</w:t>
            </w:r>
            <w:proofErr w:type="spellEnd"/>
          </w:p>
        </w:tc>
        <w:tc>
          <w:tcPr>
            <w:tcW w:w="1410" w:type="dxa"/>
          </w:tcPr>
          <w:p w14:paraId="1876A5FF" w14:textId="5E7B3463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prod </w:t>
            </w:r>
            <w:r>
              <w:rPr>
                <w:rStyle w:val="Emphasis"/>
                <w:rFonts w:eastAsiaTheme="majorEastAsia"/>
              </w:rPr>
              <w:t>(alias)</w:t>
            </w:r>
          </w:p>
        </w:tc>
        <w:tc>
          <w:tcPr>
            <w:tcW w:w="1800" w:type="dxa"/>
          </w:tcPr>
          <w:p w14:paraId="1ACADA4A" w14:textId="4219C3F3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 alias</w:t>
            </w:r>
          </w:p>
        </w:tc>
        <w:tc>
          <w:tcPr>
            <w:tcW w:w="2070" w:type="dxa"/>
          </w:tcPr>
          <w:p w14:paraId="73251AA0" w14:textId="68ECA4AA" w:rsidR="00B14D73" w:rsidRDefault="00593BA8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BA8">
              <w:t>https://gist.githubusercontent.com/racoope70/075f8898d9ae1372b1b98bccbe4f53f4/raw/live_signals.json</w:t>
            </w:r>
          </w:p>
        </w:tc>
        <w:tc>
          <w:tcPr>
            <w:tcW w:w="2965" w:type="dxa"/>
          </w:tcPr>
          <w:p w14:paraId="717B72D8" w14:textId="0464FD34" w:rsidR="00B14D73" w:rsidRDefault="00B14D73" w:rsidP="00662EF3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RAW Gist (alias resolves to real URL kept private).</w:t>
            </w:r>
          </w:p>
        </w:tc>
      </w:tr>
    </w:tbl>
    <w:p w14:paraId="46F59F91" w14:textId="77777777" w:rsidR="00662EF3" w:rsidRPr="00662EF3" w:rsidRDefault="00662EF3" w:rsidP="00662EF3">
      <w:pPr>
        <w:pStyle w:val="NormalWeb"/>
      </w:pPr>
    </w:p>
    <w:p w14:paraId="6189E447" w14:textId="0991824C" w:rsidR="00662EF3" w:rsidRPr="00662EF3" w:rsidRDefault="00662EF3" w:rsidP="00662EF3">
      <w:pPr>
        <w:pStyle w:val="Heading1"/>
      </w:pPr>
      <w:bookmarkStart w:id="15" w:name="_Toc207824015"/>
      <w:r w:rsidRPr="00662EF3">
        <w:lastRenderedPageBreak/>
        <w:t>Conclusion</w:t>
      </w:r>
      <w:bookmarkEnd w:id="15"/>
    </w:p>
    <w:p w14:paraId="797F0280" w14:textId="448CB679" w:rsidR="005941FE" w:rsidRPr="001E5F36" w:rsidRDefault="00662EF3" w:rsidP="00662EF3">
      <w:pPr>
        <w:rPr>
          <w:rFonts w:ascii="Open Sans" w:hAnsi="Open Sans" w:cs="Open Sans"/>
          <w:color w:val="000000"/>
          <w:sz w:val="20"/>
          <w:szCs w:val="20"/>
        </w:rPr>
      </w:pPr>
      <w:r>
        <w:t xml:space="preserve">This </w:t>
      </w:r>
      <w:proofErr w:type="spellStart"/>
      <w:r>
        <w:t>backtest</w:t>
      </w:r>
      <w:proofErr w:type="spellEnd"/>
      <w:r>
        <w:t xml:space="preserve"> shows that a simple long-only consumer of external PPO signals can generate equity-like returns with low turnover and bounded leverage. Performance was </w:t>
      </w:r>
      <w:r>
        <w:rPr>
          <w:rStyle w:val="Strong"/>
        </w:rPr>
        <w:t>back-loaded</w:t>
      </w:r>
      <w:r>
        <w:t xml:space="preserve">—a strong Q4 drove a </w:t>
      </w:r>
      <w:r>
        <w:rPr>
          <w:rStyle w:val="Strong"/>
        </w:rPr>
        <w:t>32.52%</w:t>
      </w:r>
      <w:r>
        <w:t xml:space="preserve"> year, while a </w:t>
      </w:r>
      <w:r>
        <w:rPr>
          <w:rStyle w:val="Strong"/>
        </w:rPr>
        <w:t>~23%</w:t>
      </w:r>
      <w:r>
        <w:t xml:space="preserve"> intra-year drawdown and a </w:t>
      </w:r>
      <w:r>
        <w:rPr>
          <w:rStyle w:val="Strong"/>
        </w:rPr>
        <w:t>0.7 Sharpe</w:t>
      </w:r>
      <w:r>
        <w:t xml:space="preserve"> indicate meaningful path risk. Given the reliance on an off-platform model and the concentration in three names, results should be viewed as a </w:t>
      </w:r>
      <w:r>
        <w:rPr>
          <w:rStyle w:val="Emphasis"/>
        </w:rPr>
        <w:t>proof of concept</w:t>
      </w:r>
      <w:r>
        <w:t>. The next iteration should (</w:t>
      </w:r>
      <w:proofErr w:type="spellStart"/>
      <w:r>
        <w:t>i</w:t>
      </w:r>
      <w:proofErr w:type="spellEnd"/>
      <w:r>
        <w:t>) smooth trades and impose minimum hold times, (ii) diversify the universe, and (iii) extend the test window to multiple years to validate robustness.</w:t>
      </w:r>
    </w:p>
    <w:sectPr w:rsidR="005941FE" w:rsidRPr="001E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17F2"/>
    <w:multiLevelType w:val="multilevel"/>
    <w:tmpl w:val="CB5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F2053"/>
    <w:multiLevelType w:val="multilevel"/>
    <w:tmpl w:val="6B1A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727B1"/>
    <w:multiLevelType w:val="multilevel"/>
    <w:tmpl w:val="F9F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30DFE"/>
    <w:multiLevelType w:val="multilevel"/>
    <w:tmpl w:val="FAF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76732">
    <w:abstractNumId w:val="1"/>
  </w:num>
  <w:num w:numId="2" w16cid:durableId="1417630176">
    <w:abstractNumId w:val="0"/>
  </w:num>
  <w:num w:numId="3" w16cid:durableId="287784781">
    <w:abstractNumId w:val="2"/>
  </w:num>
  <w:num w:numId="4" w16cid:durableId="1647927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36"/>
    <w:rsid w:val="001927D9"/>
    <w:rsid w:val="001B76E6"/>
    <w:rsid w:val="001E5F36"/>
    <w:rsid w:val="002246EC"/>
    <w:rsid w:val="00431F44"/>
    <w:rsid w:val="004F37DC"/>
    <w:rsid w:val="0056427B"/>
    <w:rsid w:val="00593BA8"/>
    <w:rsid w:val="005941FE"/>
    <w:rsid w:val="0061165D"/>
    <w:rsid w:val="00662EF3"/>
    <w:rsid w:val="006C202B"/>
    <w:rsid w:val="00745452"/>
    <w:rsid w:val="00764863"/>
    <w:rsid w:val="00796333"/>
    <w:rsid w:val="00867A23"/>
    <w:rsid w:val="00876380"/>
    <w:rsid w:val="00883CDF"/>
    <w:rsid w:val="008D081A"/>
    <w:rsid w:val="009E4C2E"/>
    <w:rsid w:val="00B14D73"/>
    <w:rsid w:val="00B82E52"/>
    <w:rsid w:val="00BA76EC"/>
    <w:rsid w:val="00BE5235"/>
    <w:rsid w:val="00C12D90"/>
    <w:rsid w:val="00C957A0"/>
    <w:rsid w:val="00CF5A60"/>
    <w:rsid w:val="00D22657"/>
    <w:rsid w:val="00D57317"/>
    <w:rsid w:val="00D667EA"/>
    <w:rsid w:val="00D73964"/>
    <w:rsid w:val="00DC7145"/>
    <w:rsid w:val="00DD1358"/>
    <w:rsid w:val="00DD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3E77F"/>
  <w15:chartTrackingRefBased/>
  <w15:docId w15:val="{33CA7276-6957-984D-BA3C-B7EB9C77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36"/>
    <w:rPr>
      <w:b/>
      <w:bCs/>
      <w:smallCaps/>
      <w:color w:val="0F4761" w:themeColor="accent1" w:themeShade="BF"/>
      <w:spacing w:val="5"/>
    </w:rPr>
  </w:style>
  <w:style w:type="table" w:styleId="LightShading-Accent1">
    <w:name w:val="Light Shading Accent 1"/>
    <w:basedOn w:val="TableNormal"/>
    <w:uiPriority w:val="60"/>
    <w:rsid w:val="00BE523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BE52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Shading-Accent2">
    <w:name w:val="Light Shading Accent 2"/>
    <w:basedOn w:val="TableNormal"/>
    <w:uiPriority w:val="60"/>
    <w:rsid w:val="00BE5235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paragraph" w:styleId="NormalWeb">
    <w:name w:val="Normal (Web)"/>
    <w:basedOn w:val="Normal"/>
    <w:uiPriority w:val="99"/>
    <w:unhideWhenUsed/>
    <w:rsid w:val="00D22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26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265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2EF3"/>
    <w:rPr>
      <w:i/>
      <w:iCs/>
    </w:rPr>
  </w:style>
  <w:style w:type="table" w:styleId="TableGrid">
    <w:name w:val="Table Grid"/>
    <w:basedOn w:val="TableNormal"/>
    <w:uiPriority w:val="39"/>
    <w:rsid w:val="00B14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14D7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B14D73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9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BA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12D90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2D90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12D90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12D90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12D9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12D9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12D9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12D90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12D9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12D90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6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48BE77-2C90-F447-8A67-B403E713E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Cooper</dc:creator>
  <cp:keywords/>
  <dc:description/>
  <cp:lastModifiedBy>Richard Cooper</cp:lastModifiedBy>
  <cp:revision>2</cp:revision>
  <dcterms:created xsi:type="dcterms:W3CDTF">2025-09-04T17:25:00Z</dcterms:created>
  <dcterms:modified xsi:type="dcterms:W3CDTF">2025-09-04T17:25:00Z</dcterms:modified>
</cp:coreProperties>
</file>