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Inter" w:cs="Inter" w:eastAsia="Inter" w:hAnsi="Inter"/>
          <w:b/>
          <w:bCs/>
          <w:color w:val="3B82F6"/>
          <w:sz w:val="56"/>
          <w:szCs w:val="56"/>
        </w:rPr>
        <w:t xml:space="preserve">FUNDLENS</w:t>
      </w:r>
    </w:p>
    <w:p>
      <w:pPr>
        <w:spacing w:after="200"/>
        <w:jc w:val="center"/>
      </w:pPr>
      <w:r>
        <w:rPr>
          <w:rFonts w:ascii="Inter" w:cs="Inter" w:eastAsia="Inter" w:hAnsi="Inter"/>
          <w:color w:val="FFFFFF"/>
          <w:sz w:val="36"/>
          <w:szCs w:val="36"/>
        </w:rPr>
        <w:t xml:space="preserve">v7 Build Plan</w:t>
      </w:r>
    </w:p>
    <w:p>
      <w:pPr>
        <w:spacing w:after="80"/>
        <w:jc w:val="center"/>
      </w:pPr>
      <w:r>
        <w:rPr>
          <w:rFonts w:ascii="Inter" w:cs="Inter" w:eastAsia="Inter" w:hAnsi="Inter"/>
          <w:color w:val="9CA3AF"/>
          <w:sz w:val="24"/>
          <w:szCs w:val="24"/>
        </w:rPr>
        <w:t xml:space="preserve">Sequential Session Assignments</w:t>
      </w:r>
    </w:p>
    <w:p>
      <w:pPr>
        <w:spacing w:after="600"/>
        <w:jc w:val="center"/>
      </w:pPr>
      <w:r>
        <w:rPr>
          <w:rFonts w:ascii="Inter" w:cs="Inter" w:eastAsia="Inter" w:hAnsi="Inter"/>
          <w:color w:val="9CA3AF"/>
          <w:sz w:val="22"/>
          <w:szCs w:val="22"/>
        </w:rPr>
        <w:t xml:space="preserve">April 7, 2026</w:t>
      </w:r>
    </w:p>
    <w:p>
      <w:pPr>
        <w:pBdr>
          <w:top w:val="single" w:color="25282E" w:sz="1" w:space="8"/>
        </w:pBdr>
        <w:spacing w:after="80" w:before="200"/>
        <w:jc w:val="center"/>
      </w:pPr>
      <w:r>
        <w:rPr>
          <w:rFonts w:ascii="JetBrains Mono" w:cs="JetBrains Mono" w:eastAsia="JetBrains Mono" w:hAnsi="JetBrains Mono"/>
          <w:color w:val="F59E0B"/>
          <w:sz w:val="20"/>
          <w:szCs w:val="20"/>
        </w:rPr>
        <w:t xml:space="preserve">Strategy: Upgrade v6 chassis with v7 engine</w:t>
      </w:r>
    </w:p>
    <w:p>
      <w:pPr>
        <w:jc w:val="center"/>
      </w:pPr>
      <w:r>
        <w:rPr>
          <w:rFonts w:ascii="Inter" w:cs="Inter" w:eastAsia="Inter" w:hAnsi="Inter"/>
          <w:color w:val="9CA3AF"/>
          <w:sz w:val="18"/>
          <w:szCs w:val="18"/>
        </w:rPr>
        <w:t xml:space="preserve">Every task cites FUNDLENS_SPEC.md v7.0 as authority</w:t>
      </w:r>
    </w:p>
    <w:p>
      <w:r>
        <w:br w:type="page"/>
      </w:r>
    </w:p>
    <w:p>
      <w:pPr>
        <w:spacing w:after="200" w:before="360"/>
      </w:pPr>
      <w:r>
        <w:rPr>
          <w:rFonts w:ascii="Inter" w:cs="Inter" w:eastAsia="Inter" w:hAnsi="Inter"/>
          <w:b/>
          <w:bCs/>
          <w:color w:val="3B82F6"/>
          <w:sz w:val="32"/>
          <w:szCs w:val="32"/>
        </w:rPr>
        <w:t xml:space="preserve">Executive Summary</w:t>
      </w:r>
    </w:p>
    <w:p>
      <w:pPr>
        <w:spacing w:after="80" w:before="80"/>
      </w:pPr>
      <w:r>
        <w:rPr>
          <w:rFonts w:ascii="Inter" w:cs="Inter" w:eastAsia="Inter" w:hAnsi="Inter"/>
          <w:color w:val="FFFFFF"/>
          <w:sz w:val="21"/>
          <w:szCs w:val="21"/>
        </w:rPr>
        <w:t xml:space="preserve">The v6 codebase is a working full-stack application with 11,000+ lines of production code. The infrastructure (Express server, React client, Supabase DB, auth, email, cron, monitoring) is solid and stays. The scoring engine inside that infrastructure needs surgical upgrades to match the v7 specification. This plan organizes that work into 10 sequential sessions, each with clear deliverables and spec references.</w:t>
      </w:r>
    </w:p>
    <w:p>
      <w:pPr>
        <w:spacing w:after="160" w:before="280"/>
      </w:pPr>
      <w:r>
        <w:rPr>
          <w:rFonts w:ascii="Inter" w:cs="Inter" w:eastAsia="Inter" w:hAnsi="Inter"/>
          <w:b/>
          <w:bCs/>
          <w:color w:val="FFFFFF"/>
          <w:sz w:val="26"/>
          <w:szCs w:val="26"/>
        </w:rPr>
        <w:t xml:space="preserve">Audit Findings</w:t>
      </w:r>
    </w:p>
    <w:p>
      <w:pPr>
        <w:pStyle w:val="ListParagraph"/>
        <w:numPr>
          <w:ilvl w:val="0"/>
          <w:numId w:val="2"/>
        </w:numPr>
        <w:spacing w:after="40" w:before="40"/>
      </w:pPr>
      <w:r>
        <w:rPr>
          <w:rFonts w:ascii="Inter" w:cs="Inter" w:eastAsia="Inter" w:hAnsi="Inter"/>
          <w:b/>
          <w:bCs/>
          <w:color w:val="FFFFFF"/>
          <w:sz w:val="20"/>
          <w:szCs w:val="20"/>
        </w:rPr>
        <w:t xml:space="preserve">23 of 24 </w:t>
      </w:r>
      <w:r>
        <w:rPr>
          <w:rFonts w:ascii="Inter" w:cs="Inter" w:eastAsia="Inter" w:hAnsi="Inter"/>
          <w:color w:val="FFFFFF"/>
          <w:sz w:val="20"/>
          <w:szCs w:val="20"/>
        </w:rPr>
        <w:t xml:space="preserve">spec engine files exist and are fully implemented</w:t>
      </w:r>
    </w:p>
    <w:p>
      <w:pPr>
        <w:pStyle w:val="ListParagraph"/>
        <w:numPr>
          <w:ilvl w:val="0"/>
          <w:numId w:val="2"/>
        </w:numPr>
        <w:spacing w:after="40" w:before="40"/>
      </w:pPr>
      <w:r>
        <w:rPr>
          <w:rFonts w:ascii="Inter" w:cs="Inter" w:eastAsia="Inter" w:hAnsi="Inter"/>
          <w:b/>
          <w:bCs/>
          <w:color w:val="FFFFFF"/>
          <w:sz w:val="20"/>
          <w:szCs w:val="20"/>
        </w:rPr>
        <w:t xml:space="preserve">1 missing: </w:t>
      </w:r>
      <w:r>
        <w:rPr>
          <w:rFonts w:ascii="Inter" w:cs="Inter" w:eastAsia="Inter" w:hAnsi="Inter"/>
          <w:color w:val="FFFFFF"/>
          <w:sz w:val="20"/>
          <w:szCs w:val="20"/>
        </w:rPr>
        <w:t xml:space="preserve">tiingo.ts (Tiingo API client for prices and fee data)</w:t>
      </w:r>
    </w:p>
    <w:p>
      <w:pPr>
        <w:pStyle w:val="ListParagraph"/>
        <w:numPr>
          <w:ilvl w:val="0"/>
          <w:numId w:val="2"/>
        </w:numPr>
        <w:spacing w:after="40" w:before="40"/>
      </w:pPr>
      <w:r>
        <w:rPr>
          <w:rFonts w:ascii="Inter" w:cs="Inter" w:eastAsia="Inter" w:hAnsi="Inter"/>
          <w:b/>
          <w:bCs/>
          <w:color w:val="FFFFFF"/>
          <w:sz w:val="20"/>
          <w:szCs w:val="20"/>
        </w:rPr>
        <w:t xml:space="preserve">13 major math/logic gaps </w:t>
      </w:r>
      <w:r>
        <w:rPr>
          <w:rFonts w:ascii="Inter" w:cs="Inter" w:eastAsia="Inter" w:hAnsi="Inter"/>
          <w:color w:val="FFFFFF"/>
          <w:sz w:val="20"/>
          <w:szCs w:val="20"/>
        </w:rPr>
        <w:t xml:space="preserve">between v6 code and v7 spec</w:t>
      </w:r>
    </w:p>
    <w:p>
      <w:pPr>
        <w:pStyle w:val="ListParagraph"/>
        <w:numPr>
          <w:ilvl w:val="0"/>
          <w:numId w:val="2"/>
        </w:numPr>
        <w:spacing w:after="40" w:before="40"/>
      </w:pPr>
      <w:r>
        <w:rPr>
          <w:rFonts w:ascii="Inter" w:cs="Inter" w:eastAsia="Inter" w:hAnsi="Inter"/>
          <w:b/>
          <w:bCs/>
          <w:color w:val="FFFFFF"/>
          <w:sz w:val="20"/>
          <w:szCs w:val="20"/>
        </w:rPr>
        <w:t xml:space="preserve">0 gaps </w:t>
      </w:r>
      <w:r>
        <w:rPr>
          <w:rFonts w:ascii="Inter" w:cs="Inter" w:eastAsia="Inter" w:hAnsi="Inter"/>
          <w:color w:val="FFFFFF"/>
          <w:sz w:val="20"/>
          <w:szCs w:val="20"/>
        </w:rPr>
        <w:t xml:space="preserve">in infrastructure (server, routes, auth, DB, client UI, deployment)</w:t>
      </w:r>
    </w:p>
    <w:p>
      <w:pPr>
        <w:pStyle w:val="ListParagraph"/>
        <w:numPr>
          <w:ilvl w:val="0"/>
          <w:numId w:val="2"/>
        </w:numPr>
        <w:spacing w:after="40" w:before="40"/>
      </w:pPr>
      <w:r>
        <w:rPr>
          <w:rFonts w:ascii="Inter" w:cs="Inter" w:eastAsia="Inter" w:hAnsi="Inter"/>
          <w:b/>
          <w:bCs/>
          <w:color w:val="FFFFFF"/>
          <w:sz w:val="20"/>
          <w:szCs w:val="20"/>
        </w:rPr>
        <w:t xml:space="preserve">CUSIP resolver </w:t>
      </w:r>
      <w:r>
        <w:rPr>
          <w:rFonts w:ascii="Inter" w:cs="Inter" w:eastAsia="Inter" w:hAnsi="Inter"/>
          <w:color w:val="FFFFFF"/>
          <w:sz w:val="20"/>
          <w:szCs w:val="20"/>
        </w:rPr>
        <w:t xml:space="preserve">flagged for dedicated review (OpenFIGI integration issues)</w:t>
      </w:r>
    </w:p>
    <w:p>
      <w:pPr>
        <w:spacing w:after="160" w:before="280"/>
      </w:pPr>
      <w:r>
        <w:rPr>
          <w:rFonts w:ascii="Inter" w:cs="Inter" w:eastAsia="Inter" w:hAnsi="Inter"/>
          <w:b/>
          <w:bCs/>
          <w:color w:val="FFFFFF"/>
          <w:sz w:val="26"/>
          <w:szCs w:val="26"/>
        </w:rPr>
        <w:t xml:space="preserve">What Stays Untouched</w:t>
      </w:r>
    </w:p>
    <w:p>
      <w:pPr>
        <w:pStyle w:val="ListParagraph"/>
        <w:numPr>
          <w:ilvl w:val="0"/>
          <w:numId w:val="2"/>
        </w:numPr>
        <w:spacing w:after="40" w:before="40"/>
      </w:pPr>
      <w:r>
        <w:rPr>
          <w:rFonts w:ascii="Inter" w:cs="Inter" w:eastAsia="Inter" w:hAnsi="Inter"/>
          <w:color w:val="FFFFFF"/>
          <w:sz w:val="20"/>
          <w:szCs w:val="20"/>
        </w:rPr>
        <w:t xml:space="preserve">Express server, CORS, static file serving (server.ts)</w:t>
      </w:r>
    </w:p>
    <w:p>
      <w:pPr>
        <w:pStyle w:val="ListParagraph"/>
        <w:numPr>
          <w:ilvl w:val="0"/>
          <w:numId w:val="2"/>
        </w:numPr>
        <w:spacing w:after="40" w:before="40"/>
      </w:pPr>
      <w:r>
        <w:rPr>
          <w:rFonts w:ascii="Inter" w:cs="Inter" w:eastAsia="Inter" w:hAnsi="Inter"/>
          <w:color w:val="FFFFFF"/>
          <w:sz w:val="20"/>
          <w:szCs w:val="20"/>
        </w:rPr>
        <w:t xml:space="preserve">All 20+ API routes (routes/routes.ts)</w:t>
      </w:r>
    </w:p>
    <w:p>
      <w:pPr>
        <w:pStyle w:val="ListParagraph"/>
        <w:numPr>
          <w:ilvl w:val="0"/>
          <w:numId w:val="2"/>
        </w:numPr>
        <w:spacing w:after="40" w:before="40"/>
      </w:pPr>
      <w:r>
        <w:rPr>
          <w:rFonts w:ascii="Inter" w:cs="Inter" w:eastAsia="Inter" w:hAnsi="Inter"/>
          <w:color w:val="FFFFFF"/>
          <w:sz w:val="20"/>
          <w:szCs w:val="20"/>
        </w:rPr>
        <w:t xml:space="preserve">Supabase auth, magic link, JWT middleware (auth.ts)</w:t>
      </w:r>
    </w:p>
    <w:p>
      <w:pPr>
        <w:pStyle w:val="ListParagraph"/>
        <w:numPr>
          <w:ilvl w:val="0"/>
          <w:numId w:val="2"/>
        </w:numPr>
        <w:spacing w:after="40" w:before="40"/>
      </w:pPr>
      <w:r>
        <w:rPr>
          <w:rFonts w:ascii="Inter" w:cs="Inter" w:eastAsia="Inter" w:hAnsi="Inter"/>
          <w:color w:val="FFFFFF"/>
          <w:sz w:val="20"/>
          <w:szCs w:val="20"/>
        </w:rPr>
        <w:t xml:space="preserve">EDGAR NPORT-P XML parser (edgar.ts)</w:t>
      </w:r>
    </w:p>
    <w:p>
      <w:pPr>
        <w:pStyle w:val="ListParagraph"/>
        <w:numPr>
          <w:ilvl w:val="0"/>
          <w:numId w:val="2"/>
        </w:numPr>
        <w:spacing w:after="40" w:before="40"/>
      </w:pPr>
      <w:r>
        <w:rPr>
          <w:rFonts w:ascii="Inter" w:cs="Inter" w:eastAsia="Inter" w:hAnsi="Inter"/>
          <w:color w:val="FFFFFF"/>
          <w:sz w:val="20"/>
          <w:szCs w:val="20"/>
        </w:rPr>
        <w:t xml:space="preserve">Holdings pipeline orchestration structure (holdings.ts)</w:t>
      </w:r>
    </w:p>
    <w:p>
      <w:pPr>
        <w:pStyle w:val="ListParagraph"/>
        <w:numPr>
          <w:ilvl w:val="0"/>
          <w:numId w:val="2"/>
        </w:numPr>
        <w:spacing w:after="40" w:before="40"/>
      </w:pPr>
      <w:r>
        <w:rPr>
          <w:rFonts w:ascii="Inter" w:cs="Inter" w:eastAsia="Inter" w:hAnsi="Inter"/>
          <w:color w:val="FFFFFF"/>
          <w:sz w:val="20"/>
          <w:szCs w:val="20"/>
        </w:rPr>
        <w:t xml:space="preserve">Claude Haiku sector classification (classify.ts)</w:t>
      </w:r>
    </w:p>
    <w:p>
      <w:pPr>
        <w:pStyle w:val="ListParagraph"/>
        <w:numPr>
          <w:ilvl w:val="0"/>
          <w:numId w:val="2"/>
        </w:numPr>
        <w:spacing w:after="40" w:before="40"/>
      </w:pPr>
      <w:r>
        <w:rPr>
          <w:rFonts w:ascii="Inter" w:cs="Inter" w:eastAsia="Inter" w:hAnsi="Inter"/>
          <w:color w:val="FFFFFF"/>
          <w:sz w:val="20"/>
          <w:szCs w:val="20"/>
        </w:rPr>
        <w:t xml:space="preserve">RSS feed caching (rss.ts)</w:t>
      </w:r>
    </w:p>
    <w:p>
      <w:pPr>
        <w:pStyle w:val="ListParagraph"/>
        <w:numPr>
          <w:ilvl w:val="0"/>
          <w:numId w:val="2"/>
        </w:numPr>
        <w:spacing w:after="40" w:before="40"/>
      </w:pPr>
      <w:r>
        <w:rPr>
          <w:rFonts w:ascii="Inter" w:cs="Inter" w:eastAsia="Inter" w:hAnsi="Inter"/>
          <w:color w:val="FFFFFF"/>
          <w:sz w:val="20"/>
          <w:szCs w:val="20"/>
        </w:rPr>
        <w:t xml:space="preserve">Brief email delivery (brief-email.ts)</w:t>
      </w:r>
    </w:p>
    <w:p>
      <w:pPr>
        <w:pStyle w:val="ListParagraph"/>
        <w:numPr>
          <w:ilvl w:val="0"/>
          <w:numId w:val="2"/>
        </w:numPr>
        <w:spacing w:after="40" w:before="40"/>
      </w:pPr>
      <w:r>
        <w:rPr>
          <w:rFonts w:ascii="Inter" w:cs="Inter" w:eastAsia="Inter" w:hAnsi="Inter"/>
          <w:color w:val="FFFFFF"/>
          <w:sz w:val="20"/>
          <w:szCs w:val="20"/>
        </w:rPr>
        <w:t xml:space="preserve">Brief scheduling logic (brief-scheduler.ts)</w:t>
      </w:r>
    </w:p>
    <w:p>
      <w:pPr>
        <w:pStyle w:val="ListParagraph"/>
        <w:numPr>
          <w:ilvl w:val="0"/>
          <w:numId w:val="2"/>
        </w:numPr>
        <w:spacing w:after="40" w:before="40"/>
      </w:pPr>
      <w:r>
        <w:rPr>
          <w:rFonts w:ascii="Inter" w:cs="Inter" w:eastAsia="Inter" w:hAnsi="Inter"/>
          <w:color w:val="FFFFFF"/>
          <w:sz w:val="20"/>
          <w:szCs w:val="20"/>
        </w:rPr>
        <w:t xml:space="preserve">Cron job setup (cron.ts)</w:t>
      </w:r>
    </w:p>
    <w:p>
      <w:pPr>
        <w:pStyle w:val="ListParagraph"/>
        <w:numPr>
          <w:ilvl w:val="0"/>
          <w:numId w:val="2"/>
        </w:numPr>
        <w:spacing w:after="40" w:before="40"/>
      </w:pPr>
      <w:r>
        <w:rPr>
          <w:rFonts w:ascii="Inter" w:cs="Inter" w:eastAsia="Inter" w:hAnsi="Inter"/>
          <w:color w:val="FFFFFF"/>
          <w:sz w:val="20"/>
          <w:szCs w:val="20"/>
        </w:rPr>
        <w:t xml:space="preserve">System monitoring (monitor.ts)</w:t>
      </w:r>
    </w:p>
    <w:p>
      <w:pPr>
        <w:pStyle w:val="ListParagraph"/>
        <w:numPr>
          <w:ilvl w:val="0"/>
          <w:numId w:val="2"/>
        </w:numPr>
        <w:spacing w:after="40" w:before="40"/>
      </w:pPr>
      <w:r>
        <w:rPr>
          <w:rFonts w:ascii="Inter" w:cs="Inter" w:eastAsia="Inter" w:hAnsi="Inter"/>
          <w:color w:val="FFFFFF"/>
          <w:sz w:val="20"/>
          <w:szCs w:val="20"/>
        </w:rPr>
        <w:t xml:space="preserve">React client: all 6 pages, 4 components, auth context, API client</w:t>
      </w:r>
    </w:p>
    <w:p>
      <w:pPr>
        <w:pStyle w:val="ListParagraph"/>
        <w:numPr>
          <w:ilvl w:val="0"/>
          <w:numId w:val="2"/>
        </w:numPr>
        <w:spacing w:after="40" w:before="40"/>
      </w:pPr>
      <w:r>
        <w:rPr>
          <w:rFonts w:ascii="Inter" w:cs="Inter" w:eastAsia="Inter" w:hAnsi="Inter"/>
          <w:color w:val="FFFFFF"/>
          <w:sz w:val="20"/>
          <w:szCs w:val="20"/>
        </w:rPr>
        <w:t xml:space="preserve">Database schema (9 tables with RLS)</w:t>
      </w:r>
    </w:p>
    <w:p>
      <w:r>
        <w:br w:type="page"/>
      </w:r>
    </w:p>
    <w:p>
      <w:pPr>
        <w:spacing w:after="200" w:before="360"/>
      </w:pPr>
      <w:r>
        <w:rPr>
          <w:rFonts w:ascii="Inter" w:cs="Inter" w:eastAsia="Inter" w:hAnsi="Inter"/>
          <w:b/>
          <w:bCs/>
          <w:color w:val="3B82F6"/>
          <w:sz w:val="32"/>
          <w:szCs w:val="32"/>
        </w:rPr>
        <w:t xml:space="preserve">Session 1: Foundation — Constants, Types, and Risk Model</w:t>
      </w:r>
    </w:p>
    <w:p>
      <w:pPr>
        <w:spacing w:after="80" w:before="40"/>
      </w:pPr>
      <w:r>
        <w:rPr>
          <w:rFonts w:ascii="JetBrains Mono" w:cs="JetBrains Mono" w:eastAsia="JetBrains Mono" w:hAnsi="JetBrains Mono"/>
          <w:i/>
          <w:iCs/>
          <w:color w:val="F59E0B"/>
          <w:sz w:val="18"/>
          <w:szCs w:val="18"/>
        </w:rPr>
        <w:t xml:space="preserve">Spec Reference: §2.2 Factor Weights, §3.4 Kelly Fraction Mapping, §5.6 Environment Variables</w:t>
      </w:r>
    </w:p>
    <w:p>
      <w:pPr>
        <w:spacing w:after="80" w:before="80"/>
      </w:pPr>
      <w:r>
        <w:rPr>
          <w:rFonts w:ascii="Inter" w:cs="Inter" w:eastAsia="Inter" w:hAnsi="Inter"/>
          <w:color w:val="FFFFFF"/>
          <w:sz w:val="21"/>
          <w:szCs w:val="21"/>
        </w:rPr>
        <w:t xml:space="preserve">Establish the v7 constants and type definitions that every subsequent session depends on. The current constants.ts has only 3 risk categories (conservative/moderate/aggressive). The spec defines a 7-point numeric scale with Kelly-fraction-derived k parameters. This is the foundation for the entire allocation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200"/>
        <w:gridCol w:w="1360"/>
      </w:tblGrid>
      <w:tr>
        <w:tc>
          <w:tcPr>
            <w:tcW w:type="dxa" w:w="4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Task</w:t>
            </w:r>
          </w:p>
        </w:tc>
        <w:tc>
          <w:tcPr>
            <w:tcW w:type="dxa" w:w="26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File(s)</w:t>
            </w:r>
          </w:p>
        </w:tc>
        <w:tc>
          <w:tcPr>
            <w:tcW w:type="dxa" w:w="1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Status</w:t>
            </w:r>
          </w:p>
        </w:tc>
        <w:tc>
          <w:tcPr>
            <w:tcW w:type="dxa" w:w="136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Effort</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Replace 3-category risk model with 7-point Kelly scale</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constants.ts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EF4444"/>
                <w:sz w:val="17"/>
                <w:szCs w:val="17"/>
              </w:rPr>
              <w:t xml:space="preserve">REWRITE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Kelly fraction k parameters (0.30 to 1.85)</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constants.ts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FRED commodity series IDs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constants.ts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tier badge thresholds (Breakaway/Strong/Solid/etc.)</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constants.ts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Update TypeScript interfaces for v7 scoring</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types.ts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Tiingo types (fee data, NAV history)</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types.ts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Help/Chat types (question, response, context)</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types.ts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Update env.example with all v7 variables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env.example</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bl>
    <w:p>
      <w:pPr>
        <w:spacing w:after="120" w:before="200"/>
      </w:pPr>
      <w:r>
        <w:rPr>
          <w:rFonts w:ascii="Inter" w:cs="Inter" w:eastAsia="Inter" w:hAnsi="Inter"/>
          <w:b/>
          <w:bCs/>
          <w:color w:val="06B6D4"/>
          <w:sz w:val="22"/>
          <w:szCs w:val="22"/>
        </w:rPr>
        <w:t xml:space="preserve">Acceptance Criteria</w:t>
      </w:r>
    </w:p>
    <w:p>
      <w:pPr>
        <w:pStyle w:val="ListParagraph"/>
        <w:numPr>
          <w:ilvl w:val="0"/>
          <w:numId w:val="2"/>
        </w:numPr>
        <w:spacing w:after="40" w:before="40"/>
      </w:pPr>
      <w:r>
        <w:rPr>
          <w:rFonts w:ascii="Inter" w:cs="Inter" w:eastAsia="Inter" w:hAnsi="Inter"/>
          <w:color w:val="FFFFFF"/>
          <w:sz w:val="20"/>
          <w:szCs w:val="20"/>
        </w:rPr>
        <w:t xml:space="preserve">RISK_LEVELS is a 7-point numeric object with labels matching §3.4 table exactly</w:t>
      </w:r>
    </w:p>
    <w:p>
      <w:pPr>
        <w:pStyle w:val="ListParagraph"/>
        <w:numPr>
          <w:ilvl w:val="0"/>
          <w:numId w:val="2"/>
        </w:numPr>
        <w:spacing w:after="40" w:before="40"/>
      </w:pPr>
      <w:r>
        <w:rPr>
          <w:rFonts w:ascii="Inter" w:cs="Inter" w:eastAsia="Inter" w:hAnsi="Inter"/>
          <w:color w:val="FFFFFF"/>
          <w:sz w:val="20"/>
          <w:szCs w:val="20"/>
        </w:rPr>
        <w:t xml:space="preserve">Kelly fraction k values: [0.30, 0.50, 0.70, 0.95, 1.20, 1.50, 1.85]</w:t>
      </w:r>
    </w:p>
    <w:p>
      <w:pPr>
        <w:pStyle w:val="ListParagraph"/>
        <w:numPr>
          <w:ilvl w:val="0"/>
          <w:numId w:val="2"/>
        </w:numPr>
        <w:spacing w:after="40" w:before="40"/>
      </w:pPr>
      <w:r>
        <w:rPr>
          <w:rFonts w:ascii="Inter" w:cs="Inter" w:eastAsia="Inter" w:hAnsi="Inter"/>
          <w:color w:val="FFFFFF"/>
          <w:sz w:val="20"/>
          <w:szCs w:val="20"/>
        </w:rPr>
        <w:t xml:space="preserve">Default factor weights: 25/30/25/20 (verify unchanged)</w:t>
      </w:r>
    </w:p>
    <w:p>
      <w:pPr>
        <w:pStyle w:val="ListParagraph"/>
        <w:numPr>
          <w:ilvl w:val="0"/>
          <w:numId w:val="2"/>
        </w:numPr>
        <w:spacing w:after="40" w:before="40"/>
      </w:pPr>
      <w:r>
        <w:rPr>
          <w:rFonts w:ascii="Inter" w:cs="Inter" w:eastAsia="Inter" w:hAnsi="Inter"/>
          <w:color w:val="FFFFFF"/>
          <w:sz w:val="20"/>
          <w:szCs w:val="20"/>
        </w:rPr>
        <w:t xml:space="preserve">Minimum 5% per factor weight enforced in type constraints</w:t>
      </w:r>
    </w:p>
    <w:p>
      <w:pPr>
        <w:pStyle w:val="ListParagraph"/>
        <w:numPr>
          <w:ilvl w:val="0"/>
          <w:numId w:val="2"/>
        </w:numPr>
        <w:spacing w:after="40" w:before="40"/>
      </w:pPr>
      <w:r>
        <w:rPr>
          <w:rFonts w:ascii="Inter" w:cs="Inter" w:eastAsia="Inter" w:hAnsi="Inter"/>
          <w:color w:val="FFFFFF"/>
          <w:sz w:val="20"/>
          <w:szCs w:val="20"/>
        </w:rPr>
        <w:t xml:space="preserve">All downstream files still compile with updated types</w:t>
      </w:r>
    </w:p>
    <w:p>
      <w:r>
        <w:br w:type="page"/>
      </w:r>
    </w:p>
    <w:p>
      <w:pPr>
        <w:spacing w:after="200" w:before="360"/>
      </w:pPr>
      <w:r>
        <w:rPr>
          <w:rFonts w:ascii="Inter" w:cs="Inter" w:eastAsia="Inter" w:hAnsi="Inter"/>
          <w:b/>
          <w:bCs/>
          <w:color w:val="3B82F6"/>
          <w:sz w:val="32"/>
          <w:szCs w:val="32"/>
        </w:rPr>
        <w:t xml:space="preserve">Session 2: CUSIP Resolver Deep Review</w:t>
      </w:r>
    </w:p>
    <w:p>
      <w:pPr>
        <w:spacing w:after="80" w:before="40"/>
      </w:pPr>
      <w:r>
        <w:rPr>
          <w:rFonts w:ascii="JetBrains Mono" w:cs="JetBrains Mono" w:eastAsia="JetBrains Mono" w:hAnsi="JetBrains Mono"/>
          <w:i/>
          <w:iCs/>
          <w:color w:val="F59E0B"/>
          <w:sz w:val="18"/>
          <w:szCs w:val="18"/>
        </w:rPr>
        <w:t xml:space="preserve">Spec Reference: §4.3 Holdings Pipeline, §4.2 OpenFIGI</w:t>
      </w:r>
    </w:p>
    <w:p>
      <w:pPr>
        <w:spacing w:after="80" w:before="80"/>
      </w:pPr>
      <w:r>
        <w:rPr>
          <w:rFonts w:ascii="Inter" w:cs="Inter" w:eastAsia="Inter" w:hAnsi="Inter"/>
          <w:b/>
          <w:bCs/>
          <w:color w:val="FFFFFF"/>
          <w:sz w:val="21"/>
          <w:szCs w:val="21"/>
        </w:rPr>
        <w:t xml:space="preserve">Flagged by Robert for dedicated attention. </w:t>
      </w:r>
      <w:r>
        <w:rPr>
          <w:rFonts w:ascii="Inter" w:cs="Inter" w:eastAsia="Inter" w:hAnsi="Inter"/>
          <w:color w:val="FFFFFF"/>
          <w:sz w:val="21"/>
          <w:szCs w:val="21"/>
        </w:rPr>
        <w:t xml:space="preserve">The CUSIP-to-ticker resolution via OpenFIGI is a critical pipeline dependency. Session 2 of the prior handoff restored OpenFIGI from a git commit after FMP's CUSIP endpoint returned 403 on the Starter plan. This session audits the restored code, verifies batch processing, validates caching, and ensures the full 22-fund universe resolves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200"/>
        <w:gridCol w:w="1360"/>
      </w:tblGrid>
      <w:tr>
        <w:tc>
          <w:tcPr>
            <w:tcW w:type="dxa" w:w="4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Task</w:t>
            </w:r>
          </w:p>
        </w:tc>
        <w:tc>
          <w:tcPr>
            <w:tcW w:type="dxa" w:w="26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File(s)</w:t>
            </w:r>
          </w:p>
        </w:tc>
        <w:tc>
          <w:tcPr>
            <w:tcW w:type="dxa" w:w="1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Status</w:t>
            </w:r>
          </w:p>
        </w:tc>
        <w:tc>
          <w:tcPr>
            <w:tcW w:type="dxa" w:w="136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Effort</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Audit cusip.ts against OpenFIGI v3 batch API spec</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cusip.ts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Verify batch POST to api.openfigi.com/v3/mapping</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cusip.ts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Validate Supabase cusip_cache read/write cycle</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cusip.ts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Test resolution for all 22 seeded fund holdings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cusip.ts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Large</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Handle edge cases: preferred shares, ADRs, bonds, warrants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cusip.ts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diagnostic logging for resolution failures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cusip.ts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Verify 429 rate-limit backoff behavior</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cusip.ts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bl>
    <w:p>
      <w:pPr>
        <w:spacing w:after="120" w:before="200"/>
      </w:pPr>
      <w:r>
        <w:rPr>
          <w:rFonts w:ascii="Inter" w:cs="Inter" w:eastAsia="Inter" w:hAnsi="Inter"/>
          <w:b/>
          <w:bCs/>
          <w:color w:val="06B6D4"/>
          <w:sz w:val="22"/>
          <w:szCs w:val="22"/>
        </w:rPr>
        <w:t xml:space="preserve">Acceptance Criteria</w:t>
      </w:r>
    </w:p>
    <w:p>
      <w:pPr>
        <w:pStyle w:val="ListParagraph"/>
        <w:numPr>
          <w:ilvl w:val="0"/>
          <w:numId w:val="2"/>
        </w:numPr>
        <w:spacing w:after="40" w:before="40"/>
      </w:pPr>
      <w:r>
        <w:rPr>
          <w:rFonts w:ascii="Inter" w:cs="Inter" w:eastAsia="Inter" w:hAnsi="Inter"/>
          <w:color w:val="FFFFFF"/>
          <w:sz w:val="20"/>
          <w:szCs w:val="20"/>
        </w:rPr>
        <w:t xml:space="preserve">OpenFIGI batch POST sends up to 100 CUSIPs per request</w:t>
      </w:r>
    </w:p>
    <w:p>
      <w:pPr>
        <w:pStyle w:val="ListParagraph"/>
        <w:numPr>
          <w:ilvl w:val="0"/>
          <w:numId w:val="2"/>
        </w:numPr>
        <w:spacing w:after="40" w:before="40"/>
      </w:pPr>
      <w:r>
        <w:rPr>
          <w:rFonts w:ascii="Inter" w:cs="Inter" w:eastAsia="Inter" w:hAnsi="Inter"/>
          <w:color w:val="FFFFFF"/>
          <w:sz w:val="20"/>
          <w:szCs w:val="20"/>
        </w:rPr>
        <w:t xml:space="preserve">US-listed equities preferred when multiple results returned</w:t>
      </w:r>
    </w:p>
    <w:p>
      <w:pPr>
        <w:pStyle w:val="ListParagraph"/>
        <w:numPr>
          <w:ilvl w:val="0"/>
          <w:numId w:val="2"/>
        </w:numPr>
        <w:spacing w:after="40" w:before="40"/>
      </w:pPr>
      <w:r>
        <w:rPr>
          <w:rFonts w:ascii="Inter" w:cs="Inter" w:eastAsia="Inter" w:hAnsi="Inter"/>
          <w:color w:val="FFFFFF"/>
          <w:sz w:val="20"/>
          <w:szCs w:val="20"/>
        </w:rPr>
        <w:t xml:space="preserve">cusip_cache in Supabase populated and reused on subsequent runs</w:t>
      </w:r>
    </w:p>
    <w:p>
      <w:pPr>
        <w:pStyle w:val="ListParagraph"/>
        <w:numPr>
          <w:ilvl w:val="0"/>
          <w:numId w:val="2"/>
        </w:numPr>
        <w:spacing w:after="40" w:before="40"/>
      </w:pPr>
      <w:r>
        <w:rPr>
          <w:rFonts w:ascii="Inter" w:cs="Inter" w:eastAsia="Inter" w:hAnsi="Inter"/>
          <w:color w:val="FFFFFF"/>
          <w:sz w:val="20"/>
          <w:szCs w:val="20"/>
        </w:rPr>
        <w:t xml:space="preserve">All 22 funds' holdings resolve (or are logged with clear failure reason)</w:t>
      </w:r>
    </w:p>
    <w:p>
      <w:pPr>
        <w:pStyle w:val="ListParagraph"/>
        <w:numPr>
          <w:ilvl w:val="0"/>
          <w:numId w:val="2"/>
        </w:numPr>
        <w:spacing w:after="40" w:before="40"/>
      </w:pPr>
      <w:r>
        <w:rPr>
          <w:rFonts w:ascii="Inter" w:cs="Inter" w:eastAsia="Inter" w:hAnsi="Inter"/>
          <w:color w:val="FFFFFF"/>
          <w:sz w:val="20"/>
          <w:szCs w:val="20"/>
        </w:rPr>
        <w:t xml:space="preserve">5 previously-failing funds (OIBIX, BPLBX, ADAXX, FDRXX, +1) documented with root cause</w:t>
      </w:r>
    </w:p>
    <w:p>
      <w:r>
        <w:br w:type="page"/>
      </w:r>
    </w:p>
    <w:p>
      <w:pPr>
        <w:spacing w:after="200" w:before="360"/>
      </w:pPr>
      <w:r>
        <w:rPr>
          <w:rFonts w:ascii="Inter" w:cs="Inter" w:eastAsia="Inter" w:hAnsi="Inter"/>
          <w:b/>
          <w:bCs/>
          <w:color w:val="3B82F6"/>
          <w:sz w:val="32"/>
          <w:szCs w:val="32"/>
        </w:rPr>
        <w:t xml:space="preserve">Session 3: Tiingo Integration — Prices and Fee Data</w:t>
      </w:r>
    </w:p>
    <w:p>
      <w:pPr>
        <w:spacing w:after="80" w:before="40"/>
      </w:pPr>
      <w:r>
        <w:rPr>
          <w:rFonts w:ascii="JetBrains Mono" w:cs="JetBrains Mono" w:eastAsia="JetBrains Mono" w:hAnsi="JetBrains Mono"/>
          <w:i/>
          <w:iCs/>
          <w:color w:val="F59E0B"/>
          <w:sz w:val="18"/>
          <w:szCs w:val="18"/>
        </w:rPr>
        <w:t xml:space="preserve">Spec Reference: §2.3 Cost Efficiency, §2.5 Momentum, §4.1 Paid Sources, §4.6 Fallback Chain</w:t>
      </w:r>
    </w:p>
    <w:p>
      <w:pPr>
        <w:spacing w:after="80" w:before="80"/>
      </w:pPr>
      <w:r>
        <w:rPr>
          <w:rFonts w:ascii="Inter" w:cs="Inter" w:eastAsia="Inter" w:hAnsi="Inter"/>
          <w:color w:val="FFFFFF"/>
          <w:sz w:val="21"/>
          <w:szCs w:val="21"/>
        </w:rPr>
        <w:t xml:space="preserve">The spec names Tiingo as the primary source for NAV prices (cleaner, split-adjusted, back to 1970s) and fee data (granular breakdowns including 12b-1 fees, loads). Currently v6 has no tiingo.ts at all. This session creates the Tiingo API client and wires it into the data fallback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200"/>
        <w:gridCol w:w="1360"/>
      </w:tblGrid>
      <w:tr>
        <w:tc>
          <w:tcPr>
            <w:tcW w:type="dxa" w:w="4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Task</w:t>
            </w:r>
          </w:p>
        </w:tc>
        <w:tc>
          <w:tcPr>
            <w:tcW w:type="dxa" w:w="26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File(s)</w:t>
            </w:r>
          </w:p>
        </w:tc>
        <w:tc>
          <w:tcPr>
            <w:tcW w:type="dxa" w:w="1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Status</w:t>
            </w:r>
          </w:p>
        </w:tc>
        <w:tc>
          <w:tcPr>
            <w:tcW w:type="dxa" w:w="136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Effort</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Create tiingo.ts API client from scratch</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tiingo.ts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Large</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mutual fund NAV history endpoint</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tiingo.ts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mutual fund fee data endpoint</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tiingo.ts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EOD equity prices endpoint</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tiingo.ts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rate limiting (500ms between sequential requests)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tiingo.ts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Wire Tiingo as primary in momentum.ts fallback chain</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momentum.ts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Wire Tiingo fee data into cost-efficiency.ts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cost-efficiency.ts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Note: env var is TINNGO_KEY (intentional typo per spec)</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constants.ts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bl>
    <w:p>
      <w:pPr>
        <w:spacing w:after="120" w:before="200"/>
      </w:pPr>
      <w:r>
        <w:rPr>
          <w:rFonts w:ascii="Inter" w:cs="Inter" w:eastAsia="Inter" w:hAnsi="Inter"/>
          <w:b/>
          <w:bCs/>
          <w:color w:val="06B6D4"/>
          <w:sz w:val="22"/>
          <w:szCs w:val="22"/>
        </w:rPr>
        <w:t xml:space="preserve">Acceptance Criteria</w:t>
      </w:r>
    </w:p>
    <w:p>
      <w:pPr>
        <w:pStyle w:val="ListParagraph"/>
        <w:numPr>
          <w:ilvl w:val="0"/>
          <w:numId w:val="2"/>
        </w:numPr>
        <w:spacing w:after="40" w:before="40"/>
      </w:pPr>
      <w:r>
        <w:rPr>
          <w:rFonts w:ascii="Inter" w:cs="Inter" w:eastAsia="Inter" w:hAnsi="Inter"/>
          <w:color w:val="FFFFFF"/>
          <w:sz w:val="20"/>
          <w:szCs w:val="20"/>
        </w:rPr>
        <w:t xml:space="preserve">Tiingo NAV prices return for all equity/bond funds in universe</w:t>
      </w:r>
    </w:p>
    <w:p>
      <w:pPr>
        <w:pStyle w:val="ListParagraph"/>
        <w:numPr>
          <w:ilvl w:val="0"/>
          <w:numId w:val="2"/>
        </w:numPr>
        <w:spacing w:after="40" w:before="40"/>
      </w:pPr>
      <w:r>
        <w:rPr>
          <w:rFonts w:ascii="Inter" w:cs="Inter" w:eastAsia="Inter" w:hAnsi="Inter"/>
          <w:color w:val="FFFFFF"/>
          <w:sz w:val="20"/>
          <w:szCs w:val="20"/>
        </w:rPr>
        <w:t xml:space="preserve">Tiingo fee data returns expense_ratio, 12b-1 fee, load fees where available</w:t>
      </w:r>
    </w:p>
    <w:p>
      <w:pPr>
        <w:pStyle w:val="ListParagraph"/>
        <w:numPr>
          <w:ilvl w:val="0"/>
          <w:numId w:val="2"/>
        </w:numPr>
        <w:spacing w:after="40" w:before="40"/>
      </w:pPr>
      <w:r>
        <w:rPr>
          <w:rFonts w:ascii="Inter" w:cs="Inter" w:eastAsia="Inter" w:hAnsi="Inter"/>
          <w:color w:val="FFFFFF"/>
          <w:sz w:val="20"/>
          <w:szCs w:val="20"/>
        </w:rPr>
        <w:t xml:space="preserve">Fallback chain: Tiingo → FMP → Supabase manual entry</w:t>
      </w:r>
    </w:p>
    <w:p>
      <w:pPr>
        <w:pStyle w:val="ListParagraph"/>
        <w:numPr>
          <w:ilvl w:val="0"/>
          <w:numId w:val="2"/>
        </w:numPr>
        <w:spacing w:after="40" w:before="40"/>
      </w:pPr>
      <w:r>
        <w:rPr>
          <w:rFonts w:ascii="Inter" w:cs="Inter" w:eastAsia="Inter" w:hAnsi="Inter"/>
          <w:color w:val="FFFFFF"/>
          <w:sz w:val="20"/>
          <w:szCs w:val="20"/>
        </w:rPr>
        <w:t xml:space="preserve">TINNGO_KEY env var used (intentional typo preserved per §5.6)</w:t>
      </w:r>
    </w:p>
    <w:p>
      <w:pPr>
        <w:pStyle w:val="ListParagraph"/>
        <w:numPr>
          <w:ilvl w:val="0"/>
          <w:numId w:val="2"/>
        </w:numPr>
        <w:spacing w:after="40" w:before="40"/>
      </w:pPr>
      <w:r>
        <w:rPr>
          <w:rFonts w:ascii="Inter" w:cs="Inter" w:eastAsia="Inter" w:hAnsi="Inter"/>
          <w:color w:val="FFFFFF"/>
          <w:sz w:val="20"/>
          <w:szCs w:val="20"/>
        </w:rPr>
        <w:t xml:space="preserve">500ms delay enforced between sequential Tiingo requests</w:t>
      </w:r>
    </w:p>
    <w:p>
      <w:r>
        <w:br w:type="page"/>
      </w:r>
    </w:p>
    <w:p>
      <w:pPr>
        <w:spacing w:after="200" w:before="360"/>
      </w:pPr>
      <w:r>
        <w:rPr>
          <w:rFonts w:ascii="Inter" w:cs="Inter" w:eastAsia="Inter" w:hAnsi="Inter"/>
          <w:b/>
          <w:bCs/>
          <w:color w:val="3B82F6"/>
          <w:sz w:val="32"/>
          <w:szCs w:val="32"/>
        </w:rPr>
        <w:t xml:space="preserve">Session 4: Scoring Engine — Z-Space, CDF, and Composite</w:t>
      </w:r>
    </w:p>
    <w:p>
      <w:pPr>
        <w:spacing w:after="80" w:before="40"/>
      </w:pPr>
      <w:r>
        <w:rPr>
          <w:rFonts w:ascii="JetBrains Mono" w:cs="JetBrains Mono" w:eastAsia="JetBrains Mono" w:hAnsi="JetBrains Mono"/>
          <w:i/>
          <w:iCs/>
          <w:color w:val="F59E0B"/>
          <w:sz w:val="18"/>
          <w:szCs w:val="18"/>
        </w:rPr>
        <w:t xml:space="preserve">Spec Reference: §2.1 Composite Formula, §2.2 Factor Weights, §2.7 Special Cases, §2.8 Worked Example</w:t>
      </w:r>
    </w:p>
    <w:p>
      <w:pPr>
        <w:spacing w:after="80" w:before="80"/>
      </w:pPr>
      <w:r>
        <w:rPr>
          <w:rFonts w:ascii="Inter" w:cs="Inter" w:eastAsia="Inter" w:hAnsi="Inter"/>
          <w:color w:val="FFFFFF"/>
          <w:sz w:val="21"/>
          <w:szCs w:val="21"/>
        </w:rPr>
        <w:t xml:space="preserve">This is the mathematical heart of FundLens. The current scoring.ts uses simple weighted averaging of 0–100 factor scores. The v7 spec requires z-score standardization (Bessel-corrected), weighted compositing in z-space, then mapping back to 0–100 via the standard normal CDF. This session rewrites the composite formula and validates against the worked example in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200"/>
        <w:gridCol w:w="1360"/>
      </w:tblGrid>
      <w:tr>
        <w:tc>
          <w:tcPr>
            <w:tcW w:type="dxa" w:w="4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Task</w:t>
            </w:r>
          </w:p>
        </w:tc>
        <w:tc>
          <w:tcPr>
            <w:tcW w:type="dxa" w:w="26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File(s)</w:t>
            </w:r>
          </w:p>
        </w:tc>
        <w:tc>
          <w:tcPr>
            <w:tcW w:type="dxa" w:w="1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Status</w:t>
            </w:r>
          </w:p>
        </w:tc>
        <w:tc>
          <w:tcPr>
            <w:tcW w:type="dxa" w:w="136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Effort</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Bessel-corrected z-score standardization</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EF4444"/>
                <w:sz w:val="17"/>
                <w:szCs w:val="17"/>
              </w:rPr>
              <w:t xml:space="preserve">REWRITE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Large</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standard normal CDF (Φ) via Abramowitz &amp; Stegun</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weighted composite in z-space</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EF4444"/>
                <w:sz w:val="17"/>
                <w:szCs w:val="17"/>
              </w:rPr>
              <w:t xml:space="preserve">REWRITE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CDF mapping back to 0–100</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EF4444"/>
                <w:sz w:val="17"/>
                <w:szCs w:val="17"/>
              </w:rPr>
              <w:t xml:space="preserve">REWRITE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Validate against §2.8 worked example (4 funds)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Handle money market fixed score of 50 (§2.7)</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Handle null factor defaults with dataQuality flag</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Mirror z-space rescore in client Portfolio.tsx</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Portfolio.tsx</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EF4444"/>
                <w:sz w:val="17"/>
                <w:szCs w:val="17"/>
              </w:rPr>
              <w:t xml:space="preserve">REWRITE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bl>
    <w:p>
      <w:pPr>
        <w:spacing w:after="120" w:before="200"/>
      </w:pPr>
      <w:r>
        <w:rPr>
          <w:rFonts w:ascii="Inter" w:cs="Inter" w:eastAsia="Inter" w:hAnsi="Inter"/>
          <w:b/>
          <w:bCs/>
          <w:color w:val="06B6D4"/>
          <w:sz w:val="22"/>
          <w:szCs w:val="22"/>
        </w:rPr>
        <w:t xml:space="preserve">Acceptance Criteria</w:t>
      </w:r>
    </w:p>
    <w:p>
      <w:pPr>
        <w:pStyle w:val="ListParagraph"/>
        <w:numPr>
          <w:ilvl w:val="0"/>
          <w:numId w:val="2"/>
        </w:numPr>
        <w:spacing w:after="40" w:before="40"/>
      </w:pPr>
      <w:r>
        <w:rPr>
          <w:rFonts w:ascii="Inter" w:cs="Inter" w:eastAsia="Inter" w:hAnsi="Inter"/>
          <w:color w:val="FFFFFF"/>
          <w:sz w:val="20"/>
          <w:szCs w:val="20"/>
        </w:rPr>
        <w:t xml:space="preserve">Worked example from §2.8 reproduces exactly: Fund A=84, B=41, C=40, D=31</w:t>
      </w:r>
    </w:p>
    <w:p>
      <w:pPr>
        <w:pStyle w:val="ListParagraph"/>
        <w:numPr>
          <w:ilvl w:val="0"/>
          <w:numId w:val="2"/>
        </w:numPr>
        <w:spacing w:after="40" w:before="40"/>
      </w:pPr>
      <w:r>
        <w:rPr>
          <w:rFonts w:ascii="Inter" w:cs="Inter" w:eastAsia="Inter" w:hAnsi="Inter"/>
          <w:color w:val="FFFFFF"/>
          <w:sz w:val="20"/>
          <w:szCs w:val="20"/>
        </w:rPr>
        <w:t xml:space="preserve">Z-scores use sample stdev (n-1 denominator)</w:t>
      </w:r>
    </w:p>
    <w:p>
      <w:pPr>
        <w:pStyle w:val="ListParagraph"/>
        <w:numPr>
          <w:ilvl w:val="0"/>
          <w:numId w:val="2"/>
        </w:numPr>
        <w:spacing w:after="40" w:before="40"/>
      </w:pPr>
      <w:r>
        <w:rPr>
          <w:rFonts w:ascii="Inter" w:cs="Inter" w:eastAsia="Inter" w:hAnsi="Inter"/>
          <w:color w:val="FFFFFF"/>
          <w:sz w:val="20"/>
          <w:szCs w:val="20"/>
        </w:rPr>
        <w:t xml:space="preserve">CDF uses Abramowitz &amp; Stegun approximation (max error ≈ 7.5 × 10⁻⁸)</w:t>
      </w:r>
    </w:p>
    <w:p>
      <w:pPr>
        <w:pStyle w:val="ListParagraph"/>
        <w:numPr>
          <w:ilvl w:val="0"/>
          <w:numId w:val="2"/>
        </w:numPr>
        <w:spacing w:after="40" w:before="40"/>
      </w:pPr>
      <w:r>
        <w:rPr>
          <w:rFonts w:ascii="Inter" w:cs="Inter" w:eastAsia="Inter" w:hAnsi="Inter"/>
          <w:color w:val="FFFFFF"/>
          <w:sz w:val="20"/>
          <w:szCs w:val="20"/>
        </w:rPr>
        <w:t xml:space="preserve">Money market funds return fixed 50 without factor scoring</w:t>
      </w:r>
    </w:p>
    <w:p>
      <w:pPr>
        <w:pStyle w:val="ListParagraph"/>
        <w:numPr>
          <w:ilvl w:val="0"/>
          <w:numId w:val="2"/>
        </w:numPr>
        <w:spacing w:after="40" w:before="40"/>
      </w:pPr>
      <w:r>
        <w:rPr>
          <w:rFonts w:ascii="Inter" w:cs="Inter" w:eastAsia="Inter" w:hAnsi="Inter"/>
          <w:color w:val="FFFFFF"/>
          <w:sz w:val="20"/>
          <w:szCs w:val="20"/>
        </w:rPr>
        <w:t xml:space="preserve">Client-side rescore in Portfolio.tsx matches server-side math</w:t>
      </w:r>
    </w:p>
    <w:p>
      <w:r>
        <w:br w:type="page"/>
      </w:r>
    </w:p>
    <w:p>
      <w:pPr>
        <w:spacing w:after="200" w:before="360"/>
      </w:pPr>
      <w:r>
        <w:rPr>
          <w:rFonts w:ascii="Inter" w:cs="Inter" w:eastAsia="Inter" w:hAnsi="Inter"/>
          <w:b/>
          <w:bCs/>
          <w:color w:val="3B82F6"/>
          <w:sz w:val="32"/>
          <w:szCs w:val="32"/>
        </w:rPr>
        <w:t xml:space="preserve">Session 5: Factor Upgrades — Cost, Momentum, Quality</w:t>
      </w:r>
    </w:p>
    <w:p>
      <w:pPr>
        <w:spacing w:after="80" w:before="40"/>
      </w:pPr>
      <w:r>
        <w:rPr>
          <w:rFonts w:ascii="JetBrains Mono" w:cs="JetBrains Mono" w:eastAsia="JetBrains Mono" w:hAnsi="JetBrains Mono"/>
          <w:i/>
          <w:iCs/>
          <w:color w:val="F59E0B"/>
          <w:sz w:val="18"/>
          <w:szCs w:val="18"/>
        </w:rPr>
        <w:t xml:space="preserve">Spec Reference: §2.3 Cost Efficiency, §2.4 Holdings Quality, §2.5 Momentum</w:t>
      </w:r>
    </w:p>
    <w:p>
      <w:pPr>
        <w:spacing w:after="80" w:before="80"/>
      </w:pPr>
      <w:r>
        <w:rPr>
          <w:rFonts w:ascii="Inter" w:cs="Inter" w:eastAsia="Inter" w:hAnsi="Inter"/>
          <w:color w:val="FFFFFF"/>
          <w:sz w:val="21"/>
          <w:szCs w:val="21"/>
        </w:rPr>
        <w:t xml:space="preserve">Three factor scoring files need targeted upgrades. Cost Efficiency needs the 12b-1 fee penalty. Momentum needs volatility adjustment and z-score winsorization. Quality needs bond scoring, blended fund handling, and coverage-based confidence scaling.</w:t>
      </w:r>
    </w:p>
    <w:p>
      <w:pPr>
        <w:spacing w:after="160" w:before="280"/>
      </w:pPr>
      <w:r>
        <w:rPr>
          <w:rFonts w:ascii="Inter" w:cs="Inter" w:eastAsia="Inter" w:hAnsi="Inter"/>
          <w:b/>
          <w:bCs/>
          <w:color w:val="FFFFFF"/>
          <w:sz w:val="26"/>
          <w:szCs w:val="26"/>
        </w:rPr>
        <w:t xml:space="preserve">5A: Cost Efficiency Upgrades</w:t>
      </w:r>
    </w:p>
    <w:p>
      <w:pPr>
        <w:spacing w:after="80" w:before="40"/>
      </w:pPr>
      <w:r>
        <w:rPr>
          <w:rFonts w:ascii="JetBrains Mono" w:cs="JetBrains Mono" w:eastAsia="JetBrains Mono" w:hAnsi="JetBrains Mono"/>
          <w:i/>
          <w:iCs/>
          <w:color w:val="F59E0B"/>
          <w:sz w:val="18"/>
          <w:szCs w:val="18"/>
        </w:rPr>
        <w:t xml:space="preserve">Spec Reference: §2.3 Enhanced Expense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200"/>
        <w:gridCol w:w="1360"/>
      </w:tblGrid>
      <w:tr>
        <w:tc>
          <w:tcPr>
            <w:tcW w:type="dxa" w:w="4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Task</w:t>
            </w:r>
          </w:p>
        </w:tc>
        <w:tc>
          <w:tcPr>
            <w:tcW w:type="dxa" w:w="26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File(s)</w:t>
            </w:r>
          </w:p>
        </w:tc>
        <w:tc>
          <w:tcPr>
            <w:tcW w:type="dxa" w:w="1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Status</w:t>
            </w:r>
          </w:p>
        </w:tc>
        <w:tc>
          <w:tcPr>
            <w:tcW w:type="dxa" w:w="136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Effort</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12b-1 fee penalty (-5 pts per 0.10%, capped -15)</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cost-efficiency.ts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Wire Tiingo fee data as input (from Session 3)</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cost-efficiency.ts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Money market funds score 50 (neutral, §2.3)</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cost-efficiency.ts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Populate expense_ratio in Supabase funds table</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seed_funds.sql</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bl>
    <w:p>
      <w:pPr>
        <w:spacing w:after="160" w:before="280"/>
      </w:pPr>
      <w:r>
        <w:rPr>
          <w:rFonts w:ascii="Inter" w:cs="Inter" w:eastAsia="Inter" w:hAnsi="Inter"/>
          <w:b/>
          <w:bCs/>
          <w:color w:val="FFFFFF"/>
          <w:sz w:val="26"/>
          <w:szCs w:val="26"/>
        </w:rPr>
        <w:t xml:space="preserve">5B: Momentum Upgrades</w:t>
      </w:r>
    </w:p>
    <w:p>
      <w:pPr>
        <w:spacing w:after="80" w:before="40"/>
      </w:pPr>
      <w:r>
        <w:rPr>
          <w:rFonts w:ascii="JetBrains Mono" w:cs="JetBrains Mono" w:eastAsia="JetBrains Mono" w:hAnsi="JetBrains Mono"/>
          <w:i/>
          <w:iCs/>
          <w:color w:val="F59E0B"/>
          <w:sz w:val="18"/>
          <w:szCs w:val="18"/>
        </w:rPr>
        <w:t xml:space="preserve">Spec Reference: §2.5.1 Multi-Window, §2.5.2 Volatility Adjustment, §2.5.3 Z-Score + CDF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200"/>
        <w:gridCol w:w="1360"/>
      </w:tblGrid>
      <w:tr>
        <w:tc>
          <w:tcPr>
            <w:tcW w:type="dxa" w:w="4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Task</w:t>
            </w:r>
          </w:p>
        </w:tc>
        <w:tc>
          <w:tcPr>
            <w:tcW w:type="dxa" w:w="26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File(s)</w:t>
            </w:r>
          </w:p>
        </w:tc>
        <w:tc>
          <w:tcPr>
            <w:tcW w:type="dxa" w:w="1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Status</w:t>
            </w:r>
          </w:p>
        </w:tc>
        <w:tc>
          <w:tcPr>
            <w:tcW w:type="dxa" w:w="136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Effort</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volatility adjustment (return / realized vol)</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momentum.ts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z-score winsorization to [-3, 3]</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momentum.ts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Wire Tiingo as primary price source (from Session 3)</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momentum.ts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all edge cases from §2.5.3</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momentum.ts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bl>
    <w:p>
      <w:pPr>
        <w:spacing w:after="160" w:before="280"/>
      </w:pPr>
      <w:r>
        <w:rPr>
          <w:rFonts w:ascii="Inter" w:cs="Inter" w:eastAsia="Inter" w:hAnsi="Inter"/>
          <w:b/>
          <w:bCs/>
          <w:color w:val="FFFFFF"/>
          <w:sz w:val="26"/>
          <w:szCs w:val="26"/>
        </w:rPr>
        <w:t xml:space="preserve">5C: Holdings Quality Upgrades</w:t>
      </w:r>
    </w:p>
    <w:p>
      <w:pPr>
        <w:spacing w:after="80" w:before="40"/>
      </w:pPr>
      <w:r>
        <w:rPr>
          <w:rFonts w:ascii="JetBrains Mono" w:cs="JetBrains Mono" w:eastAsia="JetBrains Mono" w:hAnsi="JetBrains Mono"/>
          <w:i/>
          <w:iCs/>
          <w:color w:val="F59E0B"/>
          <w:sz w:val="18"/>
          <w:szCs w:val="18"/>
        </w:rPr>
        <w:t xml:space="preserve">Spec Reference: §2.4.2 Bond Quality, §2.4.3 Blended Scoring, §2.4.4 Fund-of-Funds, §2.4.1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200"/>
        <w:gridCol w:w="1360"/>
      </w:tblGrid>
      <w:tr>
        <w:tc>
          <w:tcPr>
            <w:tcW w:type="dxa" w:w="4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Task</w:t>
            </w:r>
          </w:p>
        </w:tc>
        <w:tc>
          <w:tcPr>
            <w:tcW w:type="dxa" w:w="26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File(s)</w:t>
            </w:r>
          </w:p>
        </w:tc>
        <w:tc>
          <w:tcPr>
            <w:tcW w:type="dxa" w:w="1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Status</w:t>
            </w:r>
          </w:p>
        </w:tc>
        <w:tc>
          <w:tcPr>
            <w:tcW w:type="dxa" w:w="136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Effort</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bond issuer category quality map (UST/USG/MUN/CORP)</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quality.ts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Large</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distressed bond adjustments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quality.ts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blended fund scoring (equity_ratio + bond_ratio)</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quality.ts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coverage-based confidence scaling (Grinold 1989)</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quality.ts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Verify fund-of-funds look-through (depth 1, top 10)</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quality.ts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bl>
    <w:p>
      <w:pPr>
        <w:spacing w:after="120" w:before="200"/>
      </w:pPr>
      <w:r>
        <w:rPr>
          <w:rFonts w:ascii="Inter" w:cs="Inter" w:eastAsia="Inter" w:hAnsi="Inter"/>
          <w:b/>
          <w:bCs/>
          <w:color w:val="06B6D4"/>
          <w:sz w:val="22"/>
          <w:szCs w:val="22"/>
        </w:rPr>
        <w:t xml:space="preserve">Acceptance Criteria</w:t>
      </w:r>
    </w:p>
    <w:p>
      <w:pPr>
        <w:pStyle w:val="ListParagraph"/>
        <w:numPr>
          <w:ilvl w:val="0"/>
          <w:numId w:val="2"/>
        </w:numPr>
        <w:spacing w:after="40" w:before="40"/>
      </w:pPr>
      <w:r>
        <w:rPr>
          <w:rFonts w:ascii="Inter" w:cs="Inter" w:eastAsia="Inter" w:hAnsi="Inter"/>
          <w:color w:val="FFFFFF"/>
          <w:sz w:val="20"/>
          <w:szCs w:val="20"/>
        </w:rPr>
        <w:t xml:space="preserve">Cost: fund with 0.85% ER + 0.25% 12b-1 scores lower than 0.85% with no 12b-1</w:t>
      </w:r>
    </w:p>
    <w:p>
      <w:pPr>
        <w:pStyle w:val="ListParagraph"/>
        <w:numPr>
          <w:ilvl w:val="0"/>
          <w:numId w:val="2"/>
        </w:numPr>
        <w:spacing w:after="40" w:before="40"/>
      </w:pPr>
      <w:r>
        <w:rPr>
          <w:rFonts w:ascii="Inter" w:cs="Inter" w:eastAsia="Inter" w:hAnsi="Inter"/>
          <w:color w:val="FFFFFF"/>
          <w:sz w:val="20"/>
          <w:szCs w:val="20"/>
        </w:rPr>
        <w:t xml:space="preserve">Momentum: 12% return / 8% vol scores higher than 15% return / 25% vol</w:t>
      </w:r>
    </w:p>
    <w:p>
      <w:pPr>
        <w:pStyle w:val="ListParagraph"/>
        <w:numPr>
          <w:ilvl w:val="0"/>
          <w:numId w:val="2"/>
        </w:numPr>
        <w:spacing w:after="40" w:before="40"/>
      </w:pPr>
      <w:r>
        <w:rPr>
          <w:rFonts w:ascii="Inter" w:cs="Inter" w:eastAsia="Inter" w:hAnsi="Inter"/>
          <w:color w:val="FFFFFF"/>
          <w:sz w:val="20"/>
          <w:szCs w:val="20"/>
        </w:rPr>
        <w:t xml:space="preserve">Momentum: z-scores clamped to [-3, 3] before CDF mapping</w:t>
      </w:r>
    </w:p>
    <w:p>
      <w:pPr>
        <w:pStyle w:val="ListParagraph"/>
        <w:numPr>
          <w:ilvl w:val="0"/>
          <w:numId w:val="2"/>
        </w:numPr>
        <w:spacing w:after="40" w:before="40"/>
      </w:pPr>
      <w:r>
        <w:rPr>
          <w:rFonts w:ascii="Inter" w:cs="Inter" w:eastAsia="Inter" w:hAnsi="Inter"/>
          <w:color w:val="FFFFFF"/>
          <w:sz w:val="20"/>
          <w:szCs w:val="20"/>
        </w:rPr>
        <w:t xml:space="preserve">Quality: bond fund with all UST holdings scores ~100</w:t>
      </w:r>
    </w:p>
    <w:p>
      <w:pPr>
        <w:pStyle w:val="ListParagraph"/>
        <w:numPr>
          <w:ilvl w:val="0"/>
          <w:numId w:val="2"/>
        </w:numPr>
        <w:spacing w:after="40" w:before="40"/>
      </w:pPr>
      <w:r>
        <w:rPr>
          <w:rFonts w:ascii="Inter" w:cs="Inter" w:eastAsia="Inter" w:hAnsi="Inter"/>
          <w:color w:val="FFFFFF"/>
          <w:sz w:val="20"/>
          <w:szCs w:val="20"/>
        </w:rPr>
        <w:t xml:space="preserve">Quality: coverage &lt; 40% reduces quality weight, redistributes to momentum</w:t>
      </w:r>
    </w:p>
    <w:p>
      <w:r>
        <w:br w:type="page"/>
      </w:r>
    </w:p>
    <w:p>
      <w:pPr>
        <w:spacing w:after="200" w:before="360"/>
      </w:pPr>
      <w:r>
        <w:rPr>
          <w:rFonts w:ascii="Inter" w:cs="Inter" w:eastAsia="Inter" w:hAnsi="Inter"/>
          <w:b/>
          <w:bCs/>
          <w:color w:val="3B82F6"/>
          <w:sz w:val="32"/>
          <w:szCs w:val="32"/>
        </w:rPr>
        <w:t xml:space="preserve">Session 6: FRED Commodities and Thesis Overhaul</w:t>
      </w:r>
    </w:p>
    <w:p>
      <w:pPr>
        <w:spacing w:after="80" w:before="40"/>
      </w:pPr>
      <w:r>
        <w:rPr>
          <w:rFonts w:ascii="JetBrains Mono" w:cs="JetBrains Mono" w:eastAsia="JetBrains Mono" w:hAnsi="JetBrains Mono"/>
          <w:i/>
          <w:iCs/>
          <w:color w:val="F59E0B"/>
          <w:sz w:val="18"/>
          <w:szCs w:val="18"/>
        </w:rPr>
        <w:t xml:space="preserve">Spec Reference: §2.6 Positioning, §4.4 FRED Indicators, §2.6.2 FRED Priors</w:t>
      </w:r>
    </w:p>
    <w:p>
      <w:pPr>
        <w:spacing w:after="80" w:before="80"/>
      </w:pPr>
      <w:r>
        <w:rPr>
          <w:rFonts w:ascii="Inter" w:cs="Inter" w:eastAsia="Inter" w:hAnsi="Inter"/>
          <w:color w:val="FFFFFF"/>
          <w:sz w:val="21"/>
          <w:szCs w:val="21"/>
        </w:rPr>
        <w:t xml:space="preserve">The positioning factor is FundLens’s differentiator. Three changes: (1) add commodity series to FRED fetching, (2) implement deterministic sector priors computed from hard FRED data before Claude sees it, and (3) overhaul the thesis prompt to use 1–10 scale with range anchoring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200"/>
        <w:gridCol w:w="1360"/>
      </w:tblGrid>
      <w:tr>
        <w:tc>
          <w:tcPr>
            <w:tcW w:type="dxa" w:w="4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Task</w:t>
            </w:r>
          </w:p>
        </w:tc>
        <w:tc>
          <w:tcPr>
            <w:tcW w:type="dxa" w:w="26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File(s)</w:t>
            </w:r>
          </w:p>
        </w:tc>
        <w:tc>
          <w:tcPr>
            <w:tcW w:type="dxa" w:w="1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Status</w:t>
            </w:r>
          </w:p>
        </w:tc>
        <w:tc>
          <w:tcPr>
            <w:tcW w:type="dxa" w:w="136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Effort</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5 commodity FRED series (WTI, Brent, Gold, Dollar, Copper)</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fred.ts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deterministic FRED-based sector priors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thesis.ts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Large</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Change sector score scale from -2/+2 to 1.0–10.0</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thesis.ts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EF4444"/>
                <w:sz w:val="17"/>
                <w:szCs w:val="17"/>
              </w:rPr>
              <w:t xml:space="preserve">REWRITE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range anchoring rules in Claude prompt</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thesis.ts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Update positioning.ts for 1–10 scale normalization</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positioning.ts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Update thesis_cache schema if needed</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v6_full_schema.sql</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bl>
    <w:p>
      <w:pPr>
        <w:spacing w:after="120" w:before="200"/>
      </w:pPr>
      <w:r>
        <w:rPr>
          <w:rFonts w:ascii="Inter" w:cs="Inter" w:eastAsia="Inter" w:hAnsi="Inter"/>
          <w:b/>
          <w:bCs/>
          <w:color w:val="06B6D4"/>
          <w:sz w:val="22"/>
          <w:szCs w:val="22"/>
        </w:rPr>
        <w:t xml:space="preserve">Acceptance Criteria</w:t>
      </w:r>
    </w:p>
    <w:p>
      <w:pPr>
        <w:pStyle w:val="ListParagraph"/>
        <w:numPr>
          <w:ilvl w:val="0"/>
          <w:numId w:val="2"/>
        </w:numPr>
        <w:spacing w:after="40" w:before="40"/>
      </w:pPr>
      <w:r>
        <w:rPr>
          <w:rFonts w:ascii="Inter" w:cs="Inter" w:eastAsia="Inter" w:hAnsi="Inter"/>
          <w:color w:val="FFFFFF"/>
          <w:sz w:val="20"/>
          <w:szCs w:val="20"/>
        </w:rPr>
        <w:t xml:space="preserve">FRED returns commodity prices alongside 9 economic indicators</w:t>
      </w:r>
    </w:p>
    <w:p>
      <w:pPr>
        <w:pStyle w:val="ListParagraph"/>
        <w:numPr>
          <w:ilvl w:val="0"/>
          <w:numId w:val="2"/>
        </w:numPr>
        <w:spacing w:after="40" w:before="40"/>
      </w:pPr>
      <w:r>
        <w:rPr>
          <w:rFonts w:ascii="Inter" w:cs="Inter" w:eastAsia="Inter" w:hAnsi="Inter"/>
          <w:color w:val="FFFFFF"/>
          <w:sz w:val="20"/>
          <w:szCs w:val="20"/>
        </w:rPr>
        <w:t xml:space="preserve">Priors computed: inverted yield curve → Financials -1.0, CPI &gt; 4% → Energy +1.0, etc.</w:t>
      </w:r>
    </w:p>
    <w:p>
      <w:pPr>
        <w:pStyle w:val="ListParagraph"/>
        <w:numPr>
          <w:ilvl w:val="0"/>
          <w:numId w:val="2"/>
        </w:numPr>
        <w:spacing w:after="40" w:before="40"/>
      </w:pPr>
      <w:r>
        <w:rPr>
          <w:rFonts w:ascii="Inter" w:cs="Inter" w:eastAsia="Inter" w:hAnsi="Inter"/>
          <w:color w:val="FFFFFF"/>
          <w:sz w:val="20"/>
          <w:szCs w:val="20"/>
        </w:rPr>
        <w:t xml:space="preserve">Claude thesis output uses 1.0–10.0 scale (one decimal)</w:t>
      </w:r>
    </w:p>
    <w:p>
      <w:pPr>
        <w:pStyle w:val="ListParagraph"/>
        <w:numPr>
          <w:ilvl w:val="0"/>
          <w:numId w:val="2"/>
        </w:numPr>
        <w:spacing w:after="40" w:before="40"/>
      </w:pPr>
      <w:r>
        <w:rPr>
          <w:rFonts w:ascii="Inter" w:cs="Inter" w:eastAsia="Inter" w:hAnsi="Inter"/>
          <w:color w:val="FFFFFF"/>
          <w:sz w:val="20"/>
          <w:szCs w:val="20"/>
        </w:rPr>
        <w:t xml:space="preserve">≥2 sectors score 7.0+, ≥2 score 4.0-, spread ≥4.0 points</w:t>
      </w:r>
    </w:p>
    <w:p>
      <w:pPr>
        <w:pStyle w:val="ListParagraph"/>
        <w:numPr>
          <w:ilvl w:val="0"/>
          <w:numId w:val="2"/>
        </w:numPr>
        <w:spacing w:after="40" w:before="40"/>
      </w:pPr>
      <w:r>
        <w:rPr>
          <w:rFonts w:ascii="Inter" w:cs="Inter" w:eastAsia="Inter" w:hAnsi="Inter"/>
          <w:color w:val="FFFFFF"/>
          <w:sz w:val="20"/>
          <w:szCs w:val="20"/>
        </w:rPr>
        <w:t xml:space="preserve">Positioning score formula: (thesis_score - 1) / 9 maps to 0–1 per §2.6.3</w:t>
      </w:r>
    </w:p>
    <w:p>
      <w:r>
        <w:br w:type="page"/>
      </w:r>
    </w:p>
    <w:p>
      <w:pPr>
        <w:spacing w:after="200" w:before="360"/>
      </w:pPr>
      <w:r>
        <w:rPr>
          <w:rFonts w:ascii="Inter" w:cs="Inter" w:eastAsia="Inter" w:hAnsi="Inter"/>
          <w:b/>
          <w:bCs/>
          <w:color w:val="3B82F6"/>
          <w:sz w:val="32"/>
          <w:szCs w:val="32"/>
        </w:rPr>
        <w:t xml:space="preserve">Session 7: Allocation Engine — Kelly Fractions and De Minimis</w:t>
      </w:r>
    </w:p>
    <w:p>
      <w:pPr>
        <w:spacing w:after="80" w:before="40"/>
      </w:pPr>
      <w:r>
        <w:rPr>
          <w:rFonts w:ascii="JetBrains Mono" w:cs="JetBrains Mono" w:eastAsia="JetBrains Mono" w:hAnsi="JetBrains Mono"/>
          <w:i/>
          <w:iCs/>
          <w:color w:val="F59E0B"/>
          <w:sz w:val="18"/>
          <w:szCs w:val="18"/>
        </w:rPr>
        <w:t xml:space="preserve">Spec Reference: §3 Allocation Engine (all subsections)</w:t>
      </w:r>
    </w:p>
    <w:p>
      <w:pPr>
        <w:spacing w:after="80" w:before="80"/>
      </w:pPr>
      <w:r>
        <w:rPr>
          <w:rFonts w:ascii="Inter" w:cs="Inter" w:eastAsia="Inter" w:hAnsi="Inter"/>
          <w:color w:val="FFFFFF"/>
          <w:sz w:val="21"/>
          <w:szCs w:val="21"/>
        </w:rPr>
        <w:t xml:space="preserve">The allocation engine converts universal scores into personalized position sizing. The current code likely uses a simpler model. The v7 spec requires MAD-based modified z-scores, exponential allocation with Kelly-fraction k parameters from the 7-point risk scale, a 5% de minimis floor, and rounding with error absorption into the largest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200"/>
        <w:gridCol w:w="1360"/>
      </w:tblGrid>
      <w:tr>
        <w:tc>
          <w:tcPr>
            <w:tcW w:type="dxa" w:w="4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Task</w:t>
            </w:r>
          </w:p>
        </w:tc>
        <w:tc>
          <w:tcPr>
            <w:tcW w:type="dxa" w:w="26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File(s)</w:t>
            </w:r>
          </w:p>
        </w:tc>
        <w:tc>
          <w:tcPr>
            <w:tcW w:type="dxa" w:w="1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Status</w:t>
            </w:r>
          </w:p>
        </w:tc>
        <w:tc>
          <w:tcPr>
            <w:tcW w:type="dxa" w:w="136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Effort</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MAD-based modified z-score (§3.2)</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quality gate (4+ fallbacks → excluded, §3.3)</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exponential allocation curve e^(k × mod_z)</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Large</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Wire 7-point Kelly fraction k parameters from constants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5% de minimis floor with renormalization</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Implement rounding + error absorption into largest position</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Validate against §3.7 worked example</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Update brief-engine.ts to use new allocation output</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brief-engine.ts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bl>
    <w:p>
      <w:pPr>
        <w:spacing w:after="120" w:before="200"/>
      </w:pPr>
      <w:r>
        <w:rPr>
          <w:rFonts w:ascii="Inter" w:cs="Inter" w:eastAsia="Inter" w:hAnsi="Inter"/>
          <w:b/>
          <w:bCs/>
          <w:color w:val="06B6D4"/>
          <w:sz w:val="22"/>
          <w:szCs w:val="22"/>
        </w:rPr>
        <w:t xml:space="preserve">Acceptance Criteria</w:t>
      </w:r>
    </w:p>
    <w:p>
      <w:pPr>
        <w:pStyle w:val="ListParagraph"/>
        <w:numPr>
          <w:ilvl w:val="0"/>
          <w:numId w:val="2"/>
        </w:numPr>
        <w:spacing w:after="40" w:before="40"/>
      </w:pPr>
      <w:r>
        <w:rPr>
          <w:rFonts w:ascii="Inter" w:cs="Inter" w:eastAsia="Inter" w:hAnsi="Inter"/>
          <w:color w:val="FFFFFF"/>
          <w:sz w:val="20"/>
          <w:szCs w:val="20"/>
        </w:rPr>
        <w:t xml:space="preserve">MAD uses 0.6745 constant for normal-distribution consistency</w:t>
      </w:r>
    </w:p>
    <w:p>
      <w:pPr>
        <w:pStyle w:val="ListParagraph"/>
        <w:numPr>
          <w:ilvl w:val="0"/>
          <w:numId w:val="2"/>
        </w:numPr>
        <w:spacing w:after="40" w:before="40"/>
      </w:pPr>
      <w:r>
        <w:rPr>
          <w:rFonts w:ascii="Inter" w:cs="Inter" w:eastAsia="Inter" w:hAnsi="Inter"/>
          <w:color w:val="FFFFFF"/>
          <w:sz w:val="20"/>
          <w:szCs w:val="20"/>
        </w:rPr>
        <w:t xml:space="preserve">At risk level 4 (k=0.95), worked example produces Fund A at 100%</w:t>
      </w:r>
    </w:p>
    <w:p>
      <w:pPr>
        <w:pStyle w:val="ListParagraph"/>
        <w:numPr>
          <w:ilvl w:val="0"/>
          <w:numId w:val="2"/>
        </w:numPr>
        <w:spacing w:after="40" w:before="40"/>
      </w:pPr>
      <w:r>
        <w:rPr>
          <w:rFonts w:ascii="Inter" w:cs="Inter" w:eastAsia="Inter" w:hAnsi="Inter"/>
          <w:color w:val="FFFFFF"/>
          <w:sz w:val="20"/>
          <w:szCs w:val="20"/>
        </w:rPr>
        <w:t xml:space="preserve">At risk level 1 (k=0.30), same scores produce a more distributed allocation</w:t>
      </w:r>
    </w:p>
    <w:p>
      <w:pPr>
        <w:pStyle w:val="ListParagraph"/>
        <w:numPr>
          <w:ilvl w:val="0"/>
          <w:numId w:val="2"/>
        </w:numPr>
        <w:spacing w:after="40" w:before="40"/>
      </w:pPr>
      <w:r>
        <w:rPr>
          <w:rFonts w:ascii="Inter" w:cs="Inter" w:eastAsia="Inter" w:hAnsi="Inter"/>
          <w:color w:val="FFFFFF"/>
          <w:sz w:val="20"/>
          <w:szCs w:val="20"/>
        </w:rPr>
        <w:t xml:space="preserve">No fund below 5% survives in final allocation</w:t>
      </w:r>
    </w:p>
    <w:p>
      <w:pPr>
        <w:pStyle w:val="ListParagraph"/>
        <w:numPr>
          <w:ilvl w:val="0"/>
          <w:numId w:val="2"/>
        </w:numPr>
        <w:spacing w:after="40" w:before="40"/>
      </w:pPr>
      <w:r>
        <w:rPr>
          <w:rFonts w:ascii="Inter" w:cs="Inter" w:eastAsia="Inter" w:hAnsi="Inter"/>
          <w:color w:val="FFFFFF"/>
          <w:sz w:val="20"/>
          <w:szCs w:val="20"/>
        </w:rPr>
        <w:t xml:space="preserve">Final allocations sum to exactly 100% (whole percentages)</w:t>
      </w:r>
    </w:p>
    <w:p>
      <w:r>
        <w:br w:type="page"/>
      </w:r>
    </w:p>
    <w:p>
      <w:pPr>
        <w:spacing w:after="200" w:before="360"/>
      </w:pPr>
      <w:r>
        <w:rPr>
          <w:rFonts w:ascii="Inter" w:cs="Inter" w:eastAsia="Inter" w:hAnsi="Inter"/>
          <w:b/>
          <w:bCs/>
          <w:color w:val="3B82F6"/>
          <w:sz w:val="32"/>
          <w:szCs w:val="32"/>
        </w:rPr>
        <w:t xml:space="preserve">Session 8: UI Alignment — Tier Badges, Risk Slider, HHI</w:t>
      </w:r>
    </w:p>
    <w:p>
      <w:pPr>
        <w:spacing w:after="80" w:before="40"/>
      </w:pPr>
      <w:r>
        <w:rPr>
          <w:rFonts w:ascii="JetBrains Mono" w:cs="JetBrains Mono" w:eastAsia="JetBrains Mono" w:hAnsi="JetBrains Mono"/>
          <w:i/>
          <w:iCs/>
          <w:color w:val="F59E0B"/>
          <w:sz w:val="18"/>
          <w:szCs w:val="18"/>
        </w:rPr>
        <w:t xml:space="preserve">Spec Reference: §6 UI Rules (all subsections)</w:t>
      </w:r>
    </w:p>
    <w:p>
      <w:pPr>
        <w:spacing w:after="80" w:before="80"/>
      </w:pPr>
      <w:r>
        <w:rPr>
          <w:rFonts w:ascii="Inter" w:cs="Inter" w:eastAsia="Inter" w:hAnsi="Inter"/>
          <w:color w:val="FFFFFF"/>
          <w:sz w:val="21"/>
          <w:szCs w:val="21"/>
        </w:rPr>
        <w:t xml:space="preserve">Align the React client with v7 UI requirements. The portfolio page needs tier badges derived from modified z-scores, HHI concentration display per fund, and the risk slider must change from 1–9 to 1–7. Factor weight sliders need the 5% minimum enforced. Score color coding must match spec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200"/>
        <w:gridCol w:w="1360"/>
      </w:tblGrid>
      <w:tr>
        <w:tc>
          <w:tcPr>
            <w:tcW w:type="dxa" w:w="4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Task</w:t>
            </w:r>
          </w:p>
        </w:tc>
        <w:tc>
          <w:tcPr>
            <w:tcW w:type="dxa" w:w="26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File(s)</w:t>
            </w:r>
          </w:p>
        </w:tc>
        <w:tc>
          <w:tcPr>
            <w:tcW w:type="dxa" w:w="1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Status</w:t>
            </w:r>
          </w:p>
        </w:tc>
        <w:tc>
          <w:tcPr>
            <w:tcW w:type="dxa" w:w="136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Effort</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tier badges (Breakaway/Strong/Solid/Neutral/Weak/MM/Low Data)</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Portfolio.tsx</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Change risk slider from 1–9 to 1–7 with v7 labels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Portfolio.tsx</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Update SetupWizard risk slider to match 1–7</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SetupWizard.tsx</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HHI concentration display in FundDetail sidebar</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FundDetail.tsx</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Enforce 5% minimum per factor weight in sliders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Portfolio.tsx</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Verify score color coding: Green ≥75, Blue ≥50, Amber ≥25, Red &lt;25</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Portfolio.tsx</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Delete deprecated placeholder files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client/src/pages/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Update user_profiles risk_tolerance column if needed</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v6_full_schema.sql</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bl>
    <w:p>
      <w:pPr>
        <w:spacing w:after="120" w:before="200"/>
      </w:pPr>
      <w:r>
        <w:rPr>
          <w:rFonts w:ascii="Inter" w:cs="Inter" w:eastAsia="Inter" w:hAnsi="Inter"/>
          <w:b/>
          <w:bCs/>
          <w:color w:val="06B6D4"/>
          <w:sz w:val="22"/>
          <w:szCs w:val="22"/>
        </w:rPr>
        <w:t xml:space="preserve">Acceptance Criteria</w:t>
      </w:r>
    </w:p>
    <w:p>
      <w:pPr>
        <w:pStyle w:val="ListParagraph"/>
        <w:numPr>
          <w:ilvl w:val="0"/>
          <w:numId w:val="2"/>
        </w:numPr>
        <w:spacing w:after="40" w:before="40"/>
      </w:pPr>
      <w:r>
        <w:rPr>
          <w:rFonts w:ascii="Inter" w:cs="Inter" w:eastAsia="Inter" w:hAnsi="Inter"/>
          <w:color w:val="FFFFFF"/>
          <w:sz w:val="20"/>
          <w:szCs w:val="20"/>
        </w:rPr>
        <w:t xml:space="preserve">Tier badges render with correct colors per §6.3 thresholds</w:t>
      </w:r>
    </w:p>
    <w:p>
      <w:pPr>
        <w:pStyle w:val="ListParagraph"/>
        <w:numPr>
          <w:ilvl w:val="0"/>
          <w:numId w:val="2"/>
        </w:numPr>
        <w:spacing w:after="40" w:before="40"/>
      </w:pPr>
      <w:r>
        <w:rPr>
          <w:rFonts w:ascii="Inter" w:cs="Inter" w:eastAsia="Inter" w:hAnsi="Inter"/>
          <w:color w:val="FFFFFF"/>
          <w:sz w:val="20"/>
          <w:szCs w:val="20"/>
        </w:rPr>
        <w:t xml:space="preserve">Risk slider shows 7 positions: Very Conservative through Very Aggressive</w:t>
      </w:r>
    </w:p>
    <w:p>
      <w:pPr>
        <w:pStyle w:val="ListParagraph"/>
        <w:numPr>
          <w:ilvl w:val="0"/>
          <w:numId w:val="2"/>
        </w:numPr>
        <w:spacing w:after="40" w:before="40"/>
      </w:pPr>
      <w:r>
        <w:rPr>
          <w:rFonts w:ascii="Inter" w:cs="Inter" w:eastAsia="Inter" w:hAnsi="Inter"/>
          <w:color w:val="FFFFFF"/>
          <w:sz w:val="20"/>
          <w:szCs w:val="20"/>
        </w:rPr>
        <w:t xml:space="preserve">HHI displayed as informational metric in FundDetail sidebar</w:t>
      </w:r>
    </w:p>
    <w:p>
      <w:pPr>
        <w:pStyle w:val="ListParagraph"/>
        <w:numPr>
          <w:ilvl w:val="0"/>
          <w:numId w:val="2"/>
        </w:numPr>
        <w:spacing w:after="40" w:before="40"/>
      </w:pPr>
      <w:r>
        <w:rPr>
          <w:rFonts w:ascii="Inter" w:cs="Inter" w:eastAsia="Inter" w:hAnsi="Inter"/>
          <w:color w:val="FFFFFF"/>
          <w:sz w:val="20"/>
          <w:szCs w:val="20"/>
        </w:rPr>
        <w:t xml:space="preserve">No factor weight can go below 5% via slider interaction</w:t>
      </w:r>
    </w:p>
    <w:p>
      <w:pPr>
        <w:pStyle w:val="ListParagraph"/>
        <w:numPr>
          <w:ilvl w:val="0"/>
          <w:numId w:val="2"/>
        </w:numPr>
        <w:spacing w:after="40" w:before="40"/>
      </w:pPr>
      <w:r>
        <w:rPr>
          <w:rFonts w:ascii="Inter" w:cs="Inter" w:eastAsia="Inter" w:hAnsi="Inter"/>
          <w:color w:val="FFFFFF"/>
          <w:sz w:val="20"/>
          <w:szCs w:val="20"/>
        </w:rPr>
        <w:t xml:space="preserve">Weight redistribution is proportional when one slider moves (§2.2)</w:t>
      </w:r>
    </w:p>
    <w:p>
      <w:r>
        <w:br w:type="page"/>
      </w:r>
    </w:p>
    <w:p>
      <w:pPr>
        <w:spacing w:after="200" w:before="360"/>
      </w:pPr>
      <w:r>
        <w:rPr>
          <w:rFonts w:ascii="Inter" w:cs="Inter" w:eastAsia="Inter" w:hAnsi="Inter"/>
          <w:b/>
          <w:bCs/>
          <w:color w:val="3B82F6"/>
          <w:sz w:val="32"/>
          <w:szCs w:val="32"/>
        </w:rPr>
        <w:t xml:space="preserve">Session 9: Help Section — FAQs + Live Claude Chat</w:t>
      </w:r>
    </w:p>
    <w:p>
      <w:pPr>
        <w:spacing w:after="80" w:before="40"/>
      </w:pPr>
      <w:r>
        <w:rPr>
          <w:rFonts w:ascii="JetBrains Mono" w:cs="JetBrains Mono" w:eastAsia="JetBrains Mono" w:hAnsi="JetBrains Mono"/>
          <w:i/>
          <w:iCs/>
          <w:color w:val="F59E0B"/>
          <w:sz w:val="18"/>
          <w:szCs w:val="18"/>
        </w:rPr>
        <w:t xml:space="preserve">Spec Reference: New feature (not in current spec — requires §9 Changelog addition)</w:t>
      </w:r>
    </w:p>
    <w:p>
      <w:pPr>
        <w:spacing w:after="80" w:before="80"/>
      </w:pPr>
      <w:r>
        <w:rPr>
          <w:rFonts w:ascii="Inter" w:cs="Inter" w:eastAsia="Inter" w:hAnsi="Inter"/>
          <w:color w:val="FFFFFF"/>
          <w:sz w:val="21"/>
          <w:szCs w:val="21"/>
        </w:rPr>
        <w:t xml:space="preserve">A new Help section combining static FAQs with a live Claude-powered chat scoped exclusively to FundLens topics. Users can ask how the system works, what the science means, and get plain-language explanations of their scores. Claude answers only FundLens-related questions — anything off-topic gets a polite redirect.</w:t>
      </w:r>
    </w:p>
    <w:p>
      <w:pPr>
        <w:spacing w:after="160" w:before="280"/>
      </w:pPr>
      <w:r>
        <w:rPr>
          <w:rFonts w:ascii="Inter" w:cs="Inter" w:eastAsia="Inter" w:hAnsi="Inter"/>
          <w:b/>
          <w:bCs/>
          <w:color w:val="FFFFFF"/>
          <w:sz w:val="26"/>
          <w:szCs w:val="26"/>
        </w:rPr>
        <w:t xml:space="preserve">9A: Server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200"/>
        <w:gridCol w:w="1360"/>
      </w:tblGrid>
      <w:tr>
        <w:tc>
          <w:tcPr>
            <w:tcW w:type="dxa" w:w="4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Task</w:t>
            </w:r>
          </w:p>
        </w:tc>
        <w:tc>
          <w:tcPr>
            <w:tcW w:type="dxa" w:w="26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File(s)</w:t>
            </w:r>
          </w:p>
        </w:tc>
        <w:tc>
          <w:tcPr>
            <w:tcW w:type="dxa" w:w="1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Status</w:t>
            </w:r>
          </w:p>
        </w:tc>
        <w:tc>
          <w:tcPr>
            <w:tcW w:type="dxa" w:w="136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Effort</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Create help-engine.ts with Claude Haiku scoped chat</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help-engine.ts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Large</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Build FundLens system prompt (spec as context, strict scope)</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prompts/help-system.md</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Large</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/api/help/chat endpoint (POST, authenticated)</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routes.ts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/api/help/faqs endpoint (GET, static JSON)</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routes.ts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Build FAQ content (scoring, allocation, factors, data sources)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constants.ts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bl>
    <w:p>
      <w:pPr>
        <w:spacing w:after="160" w:before="280"/>
      </w:pPr>
      <w:r>
        <w:rPr>
          <w:rFonts w:ascii="Inter" w:cs="Inter" w:eastAsia="Inter" w:hAnsi="Inter"/>
          <w:b/>
          <w:bCs/>
          <w:color w:val="FFFFFF"/>
          <w:sz w:val="26"/>
          <w:szCs w:val="26"/>
        </w:rPr>
        <w:t xml:space="preserve">9B: Client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200"/>
        <w:gridCol w:w="1360"/>
      </w:tblGrid>
      <w:tr>
        <w:tc>
          <w:tcPr>
            <w:tcW w:type="dxa" w:w="4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Task</w:t>
            </w:r>
          </w:p>
        </w:tc>
        <w:tc>
          <w:tcPr>
            <w:tcW w:type="dxa" w:w="26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File(s)</w:t>
            </w:r>
          </w:p>
        </w:tc>
        <w:tc>
          <w:tcPr>
            <w:tcW w:type="dxa" w:w="1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Status</w:t>
            </w:r>
          </w:p>
        </w:tc>
        <w:tc>
          <w:tcPr>
            <w:tcW w:type="dxa" w:w="136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Effort</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Create Help.tsx page with FAQ accordion + chat interface</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Help.tsx</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Large</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question mark icon/route to AppShell navigation</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AppShell.tsx</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Add chat API functions to api.ts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api.ts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Chat UI: message bubbles, typing indicator, input field</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Help.tsx</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Scope indicator: show that chat is FundLens-only</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Help.tsx</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22C55E"/>
                <w:sz w:val="17"/>
                <w:szCs w:val="17"/>
              </w:rPr>
              <w:t xml:space="preserve">NEW</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bl>
    <w:p>
      <w:pPr>
        <w:spacing w:after="120" w:before="200"/>
      </w:pPr>
      <w:r>
        <w:rPr>
          <w:rFonts w:ascii="Inter" w:cs="Inter" w:eastAsia="Inter" w:hAnsi="Inter"/>
          <w:b/>
          <w:bCs/>
          <w:color w:val="06B6D4"/>
          <w:sz w:val="22"/>
          <w:szCs w:val="22"/>
        </w:rPr>
        <w:t xml:space="preserve">Acceptance Criteria</w:t>
      </w:r>
    </w:p>
    <w:p>
      <w:pPr>
        <w:pStyle w:val="ListParagraph"/>
        <w:numPr>
          <w:ilvl w:val="0"/>
          <w:numId w:val="2"/>
        </w:numPr>
        <w:spacing w:after="40" w:before="40"/>
      </w:pPr>
      <w:r>
        <w:rPr>
          <w:rFonts w:ascii="Inter" w:cs="Inter" w:eastAsia="Inter" w:hAnsi="Inter"/>
          <w:color w:val="FFFFFF"/>
          <w:sz w:val="20"/>
          <w:szCs w:val="20"/>
        </w:rPr>
        <w:t xml:space="preserve">FAQ section covers: What is FundLens, How scoring works, What each factor means, How allocation works, How the Investment Brief is generated, What data sources are used</w:t>
      </w:r>
    </w:p>
    <w:p>
      <w:pPr>
        <w:pStyle w:val="ListParagraph"/>
        <w:numPr>
          <w:ilvl w:val="0"/>
          <w:numId w:val="2"/>
        </w:numPr>
        <w:spacing w:after="40" w:before="40"/>
      </w:pPr>
      <w:r>
        <w:rPr>
          <w:rFonts w:ascii="Inter" w:cs="Inter" w:eastAsia="Inter" w:hAnsi="Inter"/>
          <w:color w:val="FFFFFF"/>
          <w:sz w:val="20"/>
          <w:szCs w:val="20"/>
        </w:rPr>
        <w:t xml:space="preserve">Chat responds to: “Why did FXAIX score 73?” with factor breakdown</w:t>
      </w:r>
    </w:p>
    <w:p>
      <w:pPr>
        <w:pStyle w:val="ListParagraph"/>
        <w:numPr>
          <w:ilvl w:val="0"/>
          <w:numId w:val="2"/>
        </w:numPr>
        <w:spacing w:after="40" w:before="40"/>
      </w:pPr>
      <w:r>
        <w:rPr>
          <w:rFonts w:ascii="Inter" w:cs="Inter" w:eastAsia="Inter" w:hAnsi="Inter"/>
          <w:color w:val="FFFFFF"/>
          <w:sz w:val="20"/>
          <w:szCs w:val="20"/>
        </w:rPr>
        <w:t xml:space="preserve">Chat refuses: “What’s the weather?” with polite FundLens-only redirect</w:t>
      </w:r>
    </w:p>
    <w:p>
      <w:pPr>
        <w:pStyle w:val="ListParagraph"/>
        <w:numPr>
          <w:ilvl w:val="0"/>
          <w:numId w:val="2"/>
        </w:numPr>
        <w:spacing w:after="40" w:before="40"/>
      </w:pPr>
      <w:r>
        <w:rPr>
          <w:rFonts w:ascii="Inter" w:cs="Inter" w:eastAsia="Inter" w:hAnsi="Inter"/>
          <w:color w:val="FFFFFF"/>
          <w:sz w:val="20"/>
          <w:szCs w:val="20"/>
        </w:rPr>
        <w:t xml:space="preserve">Chat uses Claude Haiku (cheapest model, fast responses)</w:t>
      </w:r>
    </w:p>
    <w:p>
      <w:pPr>
        <w:pStyle w:val="ListParagraph"/>
        <w:numPr>
          <w:ilvl w:val="0"/>
          <w:numId w:val="2"/>
        </w:numPr>
        <w:spacing w:after="40" w:before="40"/>
      </w:pPr>
      <w:r>
        <w:rPr>
          <w:rFonts w:ascii="Inter" w:cs="Inter" w:eastAsia="Inter" w:hAnsi="Inter"/>
          <w:color w:val="FFFFFF"/>
          <w:sz w:val="20"/>
          <w:szCs w:val="20"/>
        </w:rPr>
        <w:t xml:space="preserve">System prompt includes condensed spec sections for accurate answers</w:t>
      </w:r>
    </w:p>
    <w:p>
      <w:pPr>
        <w:pStyle w:val="ListParagraph"/>
        <w:numPr>
          <w:ilvl w:val="0"/>
          <w:numId w:val="2"/>
        </w:numPr>
        <w:spacing w:after="40" w:before="40"/>
      </w:pPr>
      <w:r>
        <w:rPr>
          <w:rFonts w:ascii="Inter" w:cs="Inter" w:eastAsia="Inter" w:hAnsi="Inter"/>
          <w:color w:val="FFFFFF"/>
          <w:sz w:val="20"/>
          <w:szCs w:val="20"/>
        </w:rPr>
        <w:t xml:space="preserve">Spec §9 Changelog updated with Help section addition</w:t>
      </w:r>
    </w:p>
    <w:p>
      <w:r>
        <w:br w:type="page"/>
      </w:r>
    </w:p>
    <w:p>
      <w:pPr>
        <w:spacing w:after="200" w:before="360"/>
      </w:pPr>
      <w:r>
        <w:rPr>
          <w:rFonts w:ascii="Inter" w:cs="Inter" w:eastAsia="Inter" w:hAnsi="Inter"/>
          <w:b/>
          <w:bCs/>
          <w:color w:val="3B82F6"/>
          <w:sz w:val="32"/>
          <w:szCs w:val="32"/>
        </w:rPr>
        <w:t xml:space="preserve">Session 10: Integration Testing and Pipeline Validation</w:t>
      </w:r>
    </w:p>
    <w:p>
      <w:pPr>
        <w:spacing w:after="80" w:before="40"/>
      </w:pPr>
      <w:r>
        <w:rPr>
          <w:rFonts w:ascii="JetBrains Mono" w:cs="JetBrains Mono" w:eastAsia="JetBrains Mono" w:hAnsi="JetBrains Mono"/>
          <w:i/>
          <w:iCs/>
          <w:color w:val="F59E0B"/>
          <w:sz w:val="18"/>
          <w:szCs w:val="18"/>
        </w:rPr>
        <w:t xml:space="preserve">Spec Reference: §5.4 Pipeline Steps, §2.8 Worked Example, §3.7 Worked Example</w:t>
      </w:r>
    </w:p>
    <w:p>
      <w:pPr>
        <w:spacing w:after="80" w:before="80"/>
      </w:pPr>
      <w:r>
        <w:rPr>
          <w:rFonts w:ascii="Inter" w:cs="Inter" w:eastAsia="Inter" w:hAnsi="Inter"/>
          <w:color w:val="FFFFFF"/>
          <w:sz w:val="21"/>
          <w:szCs w:val="21"/>
        </w:rPr>
        <w:t xml:space="preserve">End-to-end validation of the complete v7 pipeline. Run the full 16-step pipeline, verify scores against spec worked examples, validate allocation engine output across all 7 risk levels, confirm Brief generation with new allocation data, and verify the Help section responds accurately.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200"/>
        <w:gridCol w:w="1360"/>
      </w:tblGrid>
      <w:tr>
        <w:tc>
          <w:tcPr>
            <w:tcW w:type="dxa" w:w="4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Task</w:t>
            </w:r>
          </w:p>
        </w:tc>
        <w:tc>
          <w:tcPr>
            <w:tcW w:type="dxa" w:w="26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File(s)</w:t>
            </w:r>
          </w:p>
        </w:tc>
        <w:tc>
          <w:tcPr>
            <w:tcW w:type="dxa" w:w="120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Status</w:t>
            </w:r>
          </w:p>
        </w:tc>
        <w:tc>
          <w:tcPr>
            <w:tcW w:type="dxa" w:w="1360"/>
            <w:tcBorders>
              <w:top w:val="single" w:color="25282E" w:sz="1"/>
              <w:left w:val="single" w:color="25282E" w:sz="1"/>
              <w:bottom w:val="single" w:color="25282E" w:sz="1"/>
              <w:right w:val="single" w:color="25282E" w:sz="1"/>
            </w:tcBorders>
            <w:shd w:fill="1E3A5F" w:val="clear"/>
            <w:tcMar>
              <w:top w:type="dxa" w:w="80"/>
              <w:left w:type="dxa" w:w="120"/>
              <w:bottom w:type="dxa" w:w="80"/>
              <w:right w:type="dxa" w:w="120"/>
            </w:tcMar>
          </w:tcPr>
          <w:p>
            <w:r>
              <w:rPr>
                <w:rFonts w:ascii="Inter" w:cs="Inter" w:eastAsia="Inter" w:hAnsi="Inter"/>
                <w:b/>
                <w:bCs/>
                <w:color w:val="FFFFFF"/>
                <w:sz w:val="18"/>
                <w:szCs w:val="18"/>
              </w:rPr>
              <w:t xml:space="preserve">Effort</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Run full pipeline and verify all 22 funds score</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pipeline.ts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Large</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Validate composite scores match z-space math</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Test allocation at all 7 risk levels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scoring.ts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Generate test Brief with v7 allocation data</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brief-engine.ts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Verify Help chat answers against spec content</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help-engine.ts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Verify no fund defaults to 50 without dataQuality flag</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pipeline.ts</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Update FUNDLENS_SPEC.md §9 Changelog with all changes</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FUNDLENS_SPEC.md</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Medium</w:t>
            </w:r>
          </w:p>
        </w:tc>
      </w:tr>
      <w:tr>
        <w:tc>
          <w:tcPr>
            <w:tcW w:type="dxa" w:w="4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Final deployment checklist review</w:t>
            </w:r>
          </w:p>
        </w:tc>
        <w:tc>
          <w:tcPr>
            <w:tcW w:type="dxa" w:w="26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JetBrains Mono" w:cs="JetBrains Mono" w:eastAsia="JetBrains Mono" w:hAnsi="JetBrains Mono"/>
                <w:color w:val="FFFFFF"/>
                <w:sz w:val="17"/>
                <w:szCs w:val="17"/>
              </w:rPr>
              <w:t xml:space="preserve">DEPLOY_CHECKLIST.md</w:t>
            </w:r>
          </w:p>
        </w:tc>
        <w:tc>
          <w:tcPr>
            <w:tcW w:type="dxa" w:w="120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59E0B"/>
                <w:sz w:val="17"/>
                <w:szCs w:val="17"/>
              </w:rPr>
              <w:t xml:space="preserve">UPDATE</w:t>
            </w:r>
          </w:p>
        </w:tc>
        <w:tc>
          <w:tcPr>
            <w:tcW w:type="dxa" w:w="1360"/>
            <w:tcBorders>
              <w:top w:val="single" w:color="25282E" w:sz="1"/>
              <w:left w:val="single" w:color="25282E" w:sz="1"/>
              <w:bottom w:val="single" w:color="25282E" w:sz="1"/>
              <w:right w:val="single" w:color="25282E" w:sz="1"/>
            </w:tcBorders>
            <w:shd w:fill="16181C" w:val="clear"/>
            <w:tcMar>
              <w:top w:type="dxa" w:w="80"/>
              <w:left w:type="dxa" w:w="120"/>
              <w:bottom w:type="dxa" w:w="80"/>
              <w:right w:type="dxa" w:w="120"/>
            </w:tcMar>
          </w:tcPr>
          <w:p>
            <w:r>
              <w:rPr>
                <w:rFonts w:ascii="Inter" w:cs="Inter" w:eastAsia="Inter" w:hAnsi="Inter"/>
                <w:color w:val="FFFFFF"/>
                <w:sz w:val="17"/>
                <w:szCs w:val="17"/>
              </w:rPr>
              <w:t xml:space="preserve">Small</w:t>
            </w:r>
          </w:p>
        </w:tc>
      </w:tr>
    </w:tbl>
    <w:p>
      <w:pPr>
        <w:spacing w:after="120" w:before="200"/>
      </w:pPr>
      <w:r>
        <w:rPr>
          <w:rFonts w:ascii="Inter" w:cs="Inter" w:eastAsia="Inter" w:hAnsi="Inter"/>
          <w:b/>
          <w:bCs/>
          <w:color w:val="06B6D4"/>
          <w:sz w:val="22"/>
          <w:szCs w:val="22"/>
        </w:rPr>
        <w:t xml:space="preserve">Acceptance Criteria</w:t>
      </w:r>
    </w:p>
    <w:p>
      <w:pPr>
        <w:pStyle w:val="ListParagraph"/>
        <w:numPr>
          <w:ilvl w:val="0"/>
          <w:numId w:val="2"/>
        </w:numPr>
        <w:spacing w:after="40" w:before="40"/>
      </w:pPr>
      <w:r>
        <w:rPr>
          <w:rFonts w:ascii="Inter" w:cs="Inter" w:eastAsia="Inter" w:hAnsi="Inter"/>
          <w:color w:val="FFFFFF"/>
          <w:sz w:val="20"/>
          <w:szCs w:val="20"/>
        </w:rPr>
        <w:t xml:space="preserve">All 22 funds receive differentiated composite scores (no silent 50 defaults)</w:t>
      </w:r>
    </w:p>
    <w:p>
      <w:pPr>
        <w:pStyle w:val="ListParagraph"/>
        <w:numPr>
          <w:ilvl w:val="0"/>
          <w:numId w:val="2"/>
        </w:numPr>
        <w:spacing w:after="40" w:before="40"/>
      </w:pPr>
      <w:r>
        <w:rPr>
          <w:rFonts w:ascii="Inter" w:cs="Inter" w:eastAsia="Inter" w:hAnsi="Inter"/>
          <w:color w:val="FFFFFF"/>
          <w:sz w:val="20"/>
          <w:szCs w:val="20"/>
        </w:rPr>
        <w:t xml:space="preserve">Scoring math matches §2.8 worked example when given same inputs</w:t>
      </w:r>
    </w:p>
    <w:p>
      <w:pPr>
        <w:pStyle w:val="ListParagraph"/>
        <w:numPr>
          <w:ilvl w:val="0"/>
          <w:numId w:val="2"/>
        </w:numPr>
        <w:spacing w:after="40" w:before="40"/>
      </w:pPr>
      <w:r>
        <w:rPr>
          <w:rFonts w:ascii="Inter" w:cs="Inter" w:eastAsia="Inter" w:hAnsi="Inter"/>
          <w:color w:val="FFFFFF"/>
          <w:sz w:val="20"/>
          <w:szCs w:val="20"/>
        </w:rPr>
        <w:t xml:space="preserve">Allocation math matches §3.7 worked example when given same inputs</w:t>
      </w:r>
    </w:p>
    <w:p>
      <w:pPr>
        <w:pStyle w:val="ListParagraph"/>
        <w:numPr>
          <w:ilvl w:val="0"/>
          <w:numId w:val="2"/>
        </w:numPr>
        <w:spacing w:after="40" w:before="40"/>
      </w:pPr>
      <w:r>
        <w:rPr>
          <w:rFonts w:ascii="Inter" w:cs="Inter" w:eastAsia="Inter" w:hAnsi="Inter"/>
          <w:color w:val="FFFFFF"/>
          <w:sz w:val="20"/>
          <w:szCs w:val="20"/>
        </w:rPr>
        <w:t xml:space="preserve">Investment Brief generates with personalized allocation percentages</w:t>
      </w:r>
    </w:p>
    <w:p>
      <w:pPr>
        <w:pStyle w:val="ListParagraph"/>
        <w:numPr>
          <w:ilvl w:val="0"/>
          <w:numId w:val="2"/>
        </w:numPr>
        <w:spacing w:after="40" w:before="40"/>
      </w:pPr>
      <w:r>
        <w:rPr>
          <w:rFonts w:ascii="Inter" w:cs="Inter" w:eastAsia="Inter" w:hAnsi="Inter"/>
          <w:color w:val="FFFFFF"/>
          <w:sz w:val="20"/>
          <w:szCs w:val="20"/>
        </w:rPr>
        <w:t xml:space="preserve">Help chat accurately explains scoring methodology</w:t>
      </w:r>
    </w:p>
    <w:p>
      <w:pPr>
        <w:pStyle w:val="ListParagraph"/>
        <w:numPr>
          <w:ilvl w:val="0"/>
          <w:numId w:val="2"/>
        </w:numPr>
        <w:spacing w:after="40" w:before="40"/>
      </w:pPr>
      <w:r>
        <w:rPr>
          <w:rFonts w:ascii="Inter" w:cs="Inter" w:eastAsia="Inter" w:hAnsi="Inter"/>
          <w:color w:val="FFFFFF"/>
          <w:sz w:val="20"/>
          <w:szCs w:val="20"/>
        </w:rPr>
        <w:t xml:space="preserve">Pipeline completes in under 10 minutes for full fund universe</w:t>
      </w:r>
    </w:p>
    <w:p>
      <w:pPr>
        <w:pStyle w:val="ListParagraph"/>
        <w:numPr>
          <w:ilvl w:val="0"/>
          <w:numId w:val="2"/>
        </w:numPr>
        <w:spacing w:after="40" w:before="40"/>
      </w:pPr>
      <w:r>
        <w:rPr>
          <w:rFonts w:ascii="Inter" w:cs="Inter" w:eastAsia="Inter" w:hAnsi="Inter"/>
          <w:color w:val="FFFFFF"/>
          <w:sz w:val="20"/>
          <w:szCs w:val="20"/>
        </w:rPr>
        <w:t xml:space="preserve">Spec changelog reflects every code change made across all sessions</w:t>
      </w:r>
    </w:p>
    <w:p>
      <w:r>
        <w:br w:type="page"/>
      </w:r>
    </w:p>
    <w:p>
      <w:pPr>
        <w:spacing w:after="200" w:before="360"/>
      </w:pPr>
      <w:r>
        <w:rPr>
          <w:rFonts w:ascii="Inter" w:cs="Inter" w:eastAsia="Inter" w:hAnsi="Inter"/>
          <w:b/>
          <w:bCs/>
          <w:color w:val="3B82F6"/>
          <w:sz w:val="32"/>
          <w:szCs w:val="32"/>
        </w:rPr>
        <w:t xml:space="preserve">Session Dependency Map</w:t>
      </w:r>
    </w:p>
    <w:p>
      <w:pPr>
        <w:spacing w:after="80" w:before="80"/>
      </w:pPr>
      <w:r>
        <w:rPr>
          <w:rFonts w:ascii="Inter" w:cs="Inter" w:eastAsia="Inter" w:hAnsi="Inter"/>
          <w:color w:val="FFFFFF"/>
          <w:sz w:val="21"/>
          <w:szCs w:val="21"/>
        </w:rPr>
        <w:t xml:space="preserve">Sessions must be completed in order. Each session’s deliverables are inputs to subsequent sessions.</w:t>
      </w:r>
    </w:p>
    <w:p>
      <w:pPr>
        <w:spacing w:after="80" w:before="200"/>
      </w:pPr>
      <w:r>
        <w:rPr>
          <w:rFonts w:ascii="JetBrains Mono" w:cs="JetBrains Mono" w:eastAsia="JetBrains Mono" w:hAnsi="JetBrains Mono"/>
          <w:b/>
          <w:bCs/>
          <w:color w:val="3B82F6"/>
          <w:sz w:val="20"/>
          <w:szCs w:val="20"/>
        </w:rPr>
        <w:t xml:space="preserve">Session 1 </w:t>
      </w:r>
      <w:r>
        <w:rPr>
          <w:rFonts w:ascii="JetBrains Mono" w:cs="JetBrains Mono" w:eastAsia="JetBrains Mono" w:hAnsi="JetBrains Mono"/>
          <w:color w:val="9CA3AF"/>
          <w:sz w:val="20"/>
          <w:szCs w:val="20"/>
        </w:rPr>
        <w:t xml:space="preserve">(Constants/Types) → </w:t>
      </w:r>
      <w:r>
        <w:rPr>
          <w:rFonts w:ascii="JetBrains Mono" w:cs="JetBrains Mono" w:eastAsia="JetBrains Mono" w:hAnsi="JetBrains Mono"/>
          <w:color w:val="F59E0B"/>
          <w:sz w:val="20"/>
          <w:szCs w:val="20"/>
        </w:rPr>
        <w:t xml:space="preserve">everything depends on this</w:t>
      </w:r>
    </w:p>
    <w:p>
      <w:pPr>
        <w:spacing w:after="40" w:before="40"/>
      </w:pPr>
      <w:r>
        <w:rPr>
          <w:rFonts w:ascii="JetBrains Mono" w:cs="JetBrains Mono" w:eastAsia="JetBrains Mono" w:hAnsi="JetBrains Mono"/>
          <w:b/>
          <w:bCs/>
          <w:color w:val="3B82F6"/>
          <w:sz w:val="20"/>
          <w:szCs w:val="20"/>
        </w:rPr>
        <w:t xml:space="preserve">Session 2 </w:t>
      </w:r>
      <w:r>
        <w:rPr>
          <w:rFonts w:ascii="JetBrains Mono" w:cs="JetBrains Mono" w:eastAsia="JetBrains Mono" w:hAnsi="JetBrains Mono"/>
          <w:color w:val="9CA3AF"/>
          <w:sz w:val="20"/>
          <w:szCs w:val="20"/>
        </w:rPr>
        <w:t xml:space="preserve">(CUSIP) → </w:t>
      </w:r>
      <w:r>
        <w:rPr>
          <w:rFonts w:ascii="JetBrains Mono" w:cs="JetBrains Mono" w:eastAsia="JetBrains Mono" w:hAnsi="JetBrains Mono"/>
          <w:color w:val="FFFFFF"/>
          <w:sz w:val="20"/>
          <w:szCs w:val="20"/>
        </w:rPr>
        <w:t xml:space="preserve">Session 5C (quality needs resolved tickers)</w:t>
      </w:r>
    </w:p>
    <w:p>
      <w:pPr>
        <w:spacing w:after="40" w:before="40"/>
      </w:pPr>
      <w:r>
        <w:rPr>
          <w:rFonts w:ascii="JetBrains Mono" w:cs="JetBrains Mono" w:eastAsia="JetBrains Mono" w:hAnsi="JetBrains Mono"/>
          <w:b/>
          <w:bCs/>
          <w:color w:val="3B82F6"/>
          <w:sz w:val="20"/>
          <w:szCs w:val="20"/>
        </w:rPr>
        <w:t xml:space="preserve">Session 3 </w:t>
      </w:r>
      <w:r>
        <w:rPr>
          <w:rFonts w:ascii="JetBrains Mono" w:cs="JetBrains Mono" w:eastAsia="JetBrains Mono" w:hAnsi="JetBrains Mono"/>
          <w:color w:val="9CA3AF"/>
          <w:sz w:val="20"/>
          <w:szCs w:val="20"/>
        </w:rPr>
        <w:t xml:space="preserve">(Tiingo) → </w:t>
      </w:r>
      <w:r>
        <w:rPr>
          <w:rFonts w:ascii="JetBrains Mono" w:cs="JetBrains Mono" w:eastAsia="JetBrains Mono" w:hAnsi="JetBrains Mono"/>
          <w:color w:val="FFFFFF"/>
          <w:sz w:val="20"/>
          <w:szCs w:val="20"/>
        </w:rPr>
        <w:t xml:space="preserve">Session 5A (cost needs fee data), 5B (momentum needs prices)</w:t>
      </w:r>
    </w:p>
    <w:p>
      <w:pPr>
        <w:spacing w:after="40" w:before="40"/>
      </w:pPr>
      <w:r>
        <w:rPr>
          <w:rFonts w:ascii="JetBrains Mono" w:cs="JetBrains Mono" w:eastAsia="JetBrains Mono" w:hAnsi="JetBrains Mono"/>
          <w:b/>
          <w:bCs/>
          <w:color w:val="3B82F6"/>
          <w:sz w:val="20"/>
          <w:szCs w:val="20"/>
        </w:rPr>
        <w:t xml:space="preserve">Session 4 </w:t>
      </w:r>
      <w:r>
        <w:rPr>
          <w:rFonts w:ascii="JetBrains Mono" w:cs="JetBrains Mono" w:eastAsia="JetBrains Mono" w:hAnsi="JetBrains Mono"/>
          <w:color w:val="9CA3AF"/>
          <w:sz w:val="20"/>
          <w:szCs w:val="20"/>
        </w:rPr>
        <w:t xml:space="preserve">(Scoring) → </w:t>
      </w:r>
      <w:r>
        <w:rPr>
          <w:rFonts w:ascii="JetBrains Mono" w:cs="JetBrains Mono" w:eastAsia="JetBrains Mono" w:hAnsi="JetBrains Mono"/>
          <w:color w:val="FFFFFF"/>
          <w:sz w:val="20"/>
          <w:szCs w:val="20"/>
        </w:rPr>
        <w:t xml:space="preserve">Session 7 (allocation uses composite), Session 8 (UI uses composites)</w:t>
      </w:r>
    </w:p>
    <w:p>
      <w:pPr>
        <w:spacing w:after="40" w:before="40"/>
      </w:pPr>
      <w:r>
        <w:rPr>
          <w:rFonts w:ascii="JetBrains Mono" w:cs="JetBrains Mono" w:eastAsia="JetBrains Mono" w:hAnsi="JetBrains Mono"/>
          <w:b/>
          <w:bCs/>
          <w:color w:val="3B82F6"/>
          <w:sz w:val="20"/>
          <w:szCs w:val="20"/>
        </w:rPr>
        <w:t xml:space="preserve">Session 5 </w:t>
      </w:r>
      <w:r>
        <w:rPr>
          <w:rFonts w:ascii="JetBrains Mono" w:cs="JetBrains Mono" w:eastAsia="JetBrains Mono" w:hAnsi="JetBrains Mono"/>
          <w:color w:val="9CA3AF"/>
          <w:sz w:val="20"/>
          <w:szCs w:val="20"/>
        </w:rPr>
        <w:t xml:space="preserve">(Factors) → </w:t>
      </w:r>
      <w:r>
        <w:rPr>
          <w:rFonts w:ascii="JetBrains Mono" w:cs="JetBrains Mono" w:eastAsia="JetBrains Mono" w:hAnsi="JetBrains Mono"/>
          <w:color w:val="FFFFFF"/>
          <w:sz w:val="20"/>
          <w:szCs w:val="20"/>
        </w:rPr>
        <w:t xml:space="preserve">Session 4 consumes factor scores, but factors can be validated independently</w:t>
      </w:r>
    </w:p>
    <w:p>
      <w:pPr>
        <w:spacing w:after="40" w:before="40"/>
      </w:pPr>
      <w:r>
        <w:rPr>
          <w:rFonts w:ascii="JetBrains Mono" w:cs="JetBrains Mono" w:eastAsia="JetBrains Mono" w:hAnsi="JetBrains Mono"/>
          <w:b/>
          <w:bCs/>
          <w:color w:val="3B82F6"/>
          <w:sz w:val="20"/>
          <w:szCs w:val="20"/>
        </w:rPr>
        <w:t xml:space="preserve">Session 6 </w:t>
      </w:r>
      <w:r>
        <w:rPr>
          <w:rFonts w:ascii="JetBrains Mono" w:cs="JetBrains Mono" w:eastAsia="JetBrains Mono" w:hAnsi="JetBrains Mono"/>
          <w:color w:val="9CA3AF"/>
          <w:sz w:val="20"/>
          <w:szCs w:val="20"/>
        </w:rPr>
        <w:t xml:space="preserve">(Thesis) → </w:t>
      </w:r>
      <w:r>
        <w:rPr>
          <w:rFonts w:ascii="JetBrains Mono" w:cs="JetBrains Mono" w:eastAsia="JetBrains Mono" w:hAnsi="JetBrains Mono"/>
          <w:color w:val="FFFFFF"/>
          <w:sz w:val="20"/>
          <w:szCs w:val="20"/>
        </w:rPr>
        <w:t xml:space="preserve">Session 5C (positioning uses thesis output)</w:t>
      </w:r>
    </w:p>
    <w:p>
      <w:pPr>
        <w:spacing w:after="40" w:before="40"/>
      </w:pPr>
      <w:r>
        <w:rPr>
          <w:rFonts w:ascii="JetBrains Mono" w:cs="JetBrains Mono" w:eastAsia="JetBrains Mono" w:hAnsi="JetBrains Mono"/>
          <w:b/>
          <w:bCs/>
          <w:color w:val="3B82F6"/>
          <w:sz w:val="20"/>
          <w:szCs w:val="20"/>
        </w:rPr>
        <w:t xml:space="preserve">Session 9 </w:t>
      </w:r>
      <w:r>
        <w:rPr>
          <w:rFonts w:ascii="JetBrains Mono" w:cs="JetBrains Mono" w:eastAsia="JetBrains Mono" w:hAnsi="JetBrains Mono"/>
          <w:color w:val="9CA3AF"/>
          <w:sz w:val="20"/>
          <w:szCs w:val="20"/>
        </w:rPr>
        <w:t xml:space="preserve">(Help) → </w:t>
      </w:r>
      <w:r>
        <w:rPr>
          <w:rFonts w:ascii="JetBrains Mono" w:cs="JetBrains Mono" w:eastAsia="JetBrains Mono" w:hAnsi="JetBrains Mono"/>
          <w:color w:val="22C55E"/>
          <w:sz w:val="20"/>
          <w:szCs w:val="20"/>
        </w:rPr>
        <w:t xml:space="preserve">independent, can run after Session 1</w:t>
      </w:r>
    </w:p>
    <w:p>
      <w:pPr>
        <w:spacing w:after="80" w:before="40"/>
      </w:pPr>
      <w:r>
        <w:rPr>
          <w:rFonts w:ascii="JetBrains Mono" w:cs="JetBrains Mono" w:eastAsia="JetBrains Mono" w:hAnsi="JetBrains Mono"/>
          <w:b/>
          <w:bCs/>
          <w:color w:val="3B82F6"/>
          <w:sz w:val="20"/>
          <w:szCs w:val="20"/>
        </w:rPr>
        <w:t xml:space="preserve">Session 10 </w:t>
      </w:r>
      <w:r>
        <w:rPr>
          <w:rFonts w:ascii="JetBrains Mono" w:cs="JetBrains Mono" w:eastAsia="JetBrains Mono" w:hAnsi="JetBrains Mono"/>
          <w:color w:val="9CA3AF"/>
          <w:sz w:val="20"/>
          <w:szCs w:val="20"/>
        </w:rPr>
        <w:t xml:space="preserve">(Integration) → </w:t>
      </w:r>
      <w:r>
        <w:rPr>
          <w:rFonts w:ascii="JetBrains Mono" w:cs="JetBrains Mono" w:eastAsia="JetBrains Mono" w:hAnsi="JetBrains Mono"/>
          <w:color w:val="EF4444"/>
          <w:sz w:val="20"/>
          <w:szCs w:val="20"/>
        </w:rPr>
        <w:t xml:space="preserve">must be last</w:t>
      </w:r>
    </w:p>
    <w:p>
      <w:pPr>
        <w:pBdr>
          <w:bottom w:val="single" w:color="25282E" w:sz="2" w:space="1"/>
        </w:pBdr>
        <w:spacing w:after="200" w:before="200"/>
      </w:pPr>
      <w:r>
        <w:rPr>
          <w:sz w:val="4"/>
          <w:szCs w:val="4"/>
        </w:rPr>
        <w:t xml:space="preserve"/>
      </w:r>
    </w:p>
    <w:p>
      <w:pPr>
        <w:spacing w:after="160" w:before="280"/>
      </w:pPr>
      <w:r>
        <w:rPr>
          <w:rFonts w:ascii="Inter" w:cs="Inter" w:eastAsia="Inter" w:hAnsi="Inter"/>
          <w:b/>
          <w:bCs/>
          <w:color w:val="FFFFFF"/>
          <w:sz w:val="26"/>
          <w:szCs w:val="26"/>
        </w:rPr>
        <w:t xml:space="preserve">Estimated Total Effort</w:t>
      </w:r>
    </w:p>
    <w:p>
      <w:pPr>
        <w:spacing w:after="80" w:before="80"/>
      </w:pPr>
      <w:r>
        <w:rPr>
          <w:rFonts w:ascii="Inter" w:cs="Inter" w:eastAsia="Inter" w:hAnsi="Inter"/>
          <w:color w:val="FFFFFF"/>
          <w:sz w:val="21"/>
          <w:szCs w:val="21"/>
        </w:rPr>
        <w:t xml:space="preserve">10 sessions. Each session is scoped to fit within a single focused coding session (2–4 hours of AI-assisted development). Sessions 5 and 9 are the largest and may each take a full session. The integration testing session (10) scales with how many issues are found.</w:t>
      </w:r>
    </w:p>
    <w:p>
      <w:pPr>
        <w:pBdr>
          <w:bottom w:val="single" w:color="25282E" w:sz="2" w:space="1"/>
        </w:pBdr>
        <w:spacing w:after="200" w:before="200"/>
      </w:pPr>
      <w:r>
        <w:rPr>
          <w:sz w:val="4"/>
          <w:szCs w:val="4"/>
        </w:rPr>
        <w:t xml:space="preserve"/>
      </w:r>
    </w:p>
    <w:p>
      <w:pPr>
        <w:spacing w:after="160" w:before="280"/>
      </w:pPr>
      <w:r>
        <w:rPr>
          <w:rFonts w:ascii="Inter" w:cs="Inter" w:eastAsia="Inter" w:hAnsi="Inter"/>
          <w:b/>
          <w:bCs/>
          <w:color w:val="FFFFFF"/>
          <w:sz w:val="26"/>
          <w:szCs w:val="26"/>
        </w:rPr>
        <w:t xml:space="preserve">Evidence Gate Protocol Reminder</w:t>
      </w:r>
    </w:p>
    <w:p>
      <w:pPr>
        <w:spacing w:after="80" w:before="80"/>
      </w:pPr>
      <w:r>
        <w:rPr>
          <w:rFonts w:ascii="Inter" w:cs="Inter" w:eastAsia="Inter" w:hAnsi="Inter"/>
          <w:color w:val="FFFFFF"/>
          <w:sz w:val="21"/>
          <w:szCs w:val="21"/>
        </w:rPr>
        <w:t xml:space="preserve">Per §HOW TO USE THIS DOCUMENT: before writing any code in each session, the session must (a) read FUNDLENS_SPEC.md, (b) cite the specific section governing each design decision, (c) state findings and gaps before coding, (d) verify all interfaces after delivery. If code and spec disagree, fix the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Page </w:t>
    </w:r>
    <w:r>
      <w:rPr>
        <w:rFonts w:ascii="Inter" w:cs="Inter" w:eastAsia="Inter" w:hAnsi="Inte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2" w:space="4"/>
      </w:pBdr>
      <w:tabs>
        <w:tab w:val="right" w:pos="9026"/>
      </w:tabs>
    </w:pPr>
    <w:r>
      <w:rPr>
        <w:rFonts w:ascii="Inter" w:cs="Inter" w:eastAsia="Inter" w:hAnsi="Inter"/>
        <w:b/>
        <w:bCs/>
        <w:color w:val="3B82F6"/>
        <w:sz w:val="18"/>
        <w:szCs w:val="18"/>
      </w:rPr>
      <w:t xml:space="preserve">FundLens v7 Build Plan</w:t>
    </w:r>
    <w:r>
      <w:rPr>
        <w:rFonts w:ascii="Inter" w:cs="Inter" w:eastAsia="Inter" w:hAnsi="Inter"/>
        <w:color w:val="9CA3AF"/>
        <w:sz w:val="16"/>
        <w:szCs w:val="16"/>
      </w:rPr>
      <w:t xml:space="preserve">	Confidential — Robert Coursey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FFFFF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2026-04-07T05:04:41.117Z</dcterms:created>
  <dcterms:modified xsi:type="dcterms:W3CDTF">2026-04-07T05:04:41.117Z</dcterms:modified>
</cp:coreProperties>
</file>

<file path=docProps/custom.xml><?xml version="1.0" encoding="utf-8"?>
<Properties xmlns="http://schemas.openxmlformats.org/officeDocument/2006/custom-properties" xmlns:vt="http://schemas.openxmlformats.org/officeDocument/2006/docPropsVTypes"/>
</file>