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44"/>
          <w:szCs w:val="44"/>
        </w:rPr>
        <w:t xml:space="preserve">FormaStat</w:t>
      </w:r>
    </w:p>
    <w:p>
      <w:pPr>
        <w:spacing w:after="80" w:before="0"/>
        <w:jc w:val="center"/>
      </w:pPr>
      <w:r>
        <w:rPr>
          <w:b/>
          <w:bCs/>
          <w:sz w:val="28"/>
          <w:szCs w:val="28"/>
        </w:rPr>
        <w:t xml:space="preserve">Lean 4 Formalization of Mathematical Statistics</w:t>
      </w:r>
    </w:p>
    <w:p>
      <w:pPr>
        <w:spacing w:after="360" w:before="0"/>
        <w:jc w:val="center"/>
      </w:pPr>
      <w:r>
        <w:rPr>
          <w:i/>
          <w:iCs/>
          <w:color w:val="595959"/>
          <w:sz w:val="22"/>
          <w:szCs w:val="22"/>
        </w:rPr>
        <w:t xml:space="preserve">Google Cloud Platform Credits Request —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pPr>
            <w:r>
              <w:rPr>
                <w:b/>
                <w:bCs/>
                <w:color w:val="FFFFFF"/>
                <w:sz w:val="20"/>
                <w:szCs w:val="20"/>
              </w:rPr>
              <w:t xml:space="preserve"/>
            </w:r>
          </w:p>
        </w:tc>
        <w:tc>
          <w:tcPr>
            <w:tcW w:type="dxa" w:w="6226"/>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pPr>
            <w:r>
              <w:rPr>
                <w:b/>
                <w:bCs/>
                <w:color w:val="FFFFFF"/>
                <w:sz w:val="20"/>
                <w:szCs w:val="20"/>
              </w:rPr>
              <w:t xml:space="preserve"/>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Principal Investigator</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Raphaël Cousin, Head of Data, SCAI — Sorbonne Université</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Scientific Co-Lead</w:t>
            </w:r>
          </w:p>
        </w:tc>
        <w:tc>
          <w:tcPr>
            <w:tcW w:type="dxa" w:w="62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Gérard Biau, LPSM, Sorbonne Université</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Requested Budget</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~$26,000 / quarter, renewable (Google Cloud Platform)</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Horizon</w:t>
            </w:r>
          </w:p>
        </w:tc>
        <w:tc>
          <w:tcPr>
            <w:tcW w:type="dxa" w:w="62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Year 1 (4 quarters) with mid-year review</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Date</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May 2026</w:t>
            </w:r>
          </w:p>
        </w:tc>
      </w:tr>
    </w:tbl>
    <w:p>
      <w:r>
        <w:t xml:space="preserve"/>
      </w:r>
    </w:p>
    <w:p>
      <w:pPr>
        <w:pStyle w:val="Heading1"/>
        <w:spacing w:after="200" w:before="360"/>
      </w:pPr>
      <w:r>
        <w:t xml:space="preserve">1. Executive Summary</w:t>
      </w:r>
    </w:p>
    <w:p>
      <w:pPr>
        <w:spacing w:after="80" w:before="80" w:line="300"/>
        <w:jc w:val="both"/>
      </w:pPr>
      <w:r>
        <w:t xml:space="preserve">FormaStat is a Lean 4 formalization project producing a structured corpus of results in high-dimensional statistics, led at SCAI Sorbonne Université in scientific partnership with Gérard Biau (LPSM). The project leverages autoformalization tooling that matured in 2025–2026 (Math Inc.'s OpenGauss, Gemini on Vertex AI) to produce a public Lean 4 library, ultimately contributed upstream to Mathlib, alongside a web interface enabling researchers to submit statistical statements for formalization and verification.</w:t>
      </w:r>
    </w:p>
    <w:p>
      <w:pPr>
        <w:spacing w:after="80" w:before="80" w:line="300"/>
        <w:jc w:val="both"/>
      </w:pPr>
      <w:r>
        <w:t xml:space="preserve">The requested envelope of ~$26,000 per quarter primarily covers Gemini token consumption on Vertex AI (the autoformalization loop), a GKE infrastructure for orchestrating OpenGauss and Lean elaboration, a Cloud Run web server for the user interface, and GCS storage for artifacts. A detailed breakdown is provided in section 7 and on the Google Cloud Pricing Calculator.</w:t>
      </w:r>
    </w:p>
    <w:p>
      <w:pPr>
        <w:pStyle w:val="Heading1"/>
        <w:spacing w:after="200" w:before="360"/>
      </w:pPr>
      <w:r>
        <w:t xml:space="preserve">2. Scientific Context</w:t>
      </w:r>
    </w:p>
    <w:p>
      <w:pPr>
        <w:pStyle w:val="Heading2"/>
        <w:spacing w:after="140" w:before="240"/>
      </w:pPr>
      <w:r>
        <w:t xml:space="preserve">2.1 Rapid maturation of autoformalization (2025–2026)</w:t>
      </w:r>
    </w:p>
    <w:p>
      <w:pPr>
        <w:spacing w:after="80" w:before="80" w:line="300"/>
        <w:jc w:val="both"/>
      </w:pPr>
      <w:r>
        <w:t xml:space="preserve">Since late 2025, autoformalization tooling has crossed an operational threshold: an agent can now produce, in a few weeks and for a few hundred to a few thousand dollars of compute, tens of thousands of lines of verified Lean code. Recent milestones:</w:t>
      </w:r>
    </w:p>
    <w:p>
      <w:pPr>
        <w:pStyle w:val="ListParagraph"/>
        <w:numPr>
          <w:ilvl w:val="0"/>
          <w:numId w:val="2"/>
        </w:numPr>
        <w:spacing w:after="40" w:before="40"/>
      </w:pPr>
      <w:r>
        <w:t xml:space="preserve">Math Inc. — Strong Prime Number Theorem (Tao &amp; Kontorovich): ~25,000 lines of Lean in 3 weeks (October 2025).</w:t>
      </w:r>
    </w:p>
    <w:p>
      <w:pPr>
        <w:pStyle w:val="ListParagraph"/>
        <w:numPr>
          <w:ilvl w:val="0"/>
          <w:numId w:val="2"/>
        </w:numPr>
        <w:spacing w:after="40" w:before="40"/>
      </w:pPr>
      <w:r>
        <w:t xml:space="preserve">Josef Urban (AI4REASON) — Munkres' General Topology: ~130,000 lines in 2 weeks, for ~$100 of API costs (January 2026).</w:t>
      </w:r>
    </w:p>
    <w:p>
      <w:pPr>
        <w:pStyle w:val="ListParagraph"/>
        <w:numPr>
          <w:ilvl w:val="0"/>
          <w:numId w:val="2"/>
        </w:numPr>
        <w:spacing w:after="40" w:before="40"/>
      </w:pPr>
      <w:r>
        <w:t xml:space="preserve">Math Inc. — OpenGauss, an open-source autoformalization harness, launched at the DARPA expMath kickoff (March 2026).</w:t>
      </w:r>
    </w:p>
    <w:p>
      <w:pPr>
        <w:pStyle w:val="ListParagraph"/>
        <w:numPr>
          <w:ilvl w:val="0"/>
          <w:numId w:val="2"/>
        </w:numPr>
        <w:spacing w:after="40" w:before="40"/>
      </w:pPr>
      <w:r>
        <w:t xml:space="preserve">M2F project — ~150,000 lines of Lean (real and convex analysis) in 3 weeks (February 2026).</w:t>
      </w:r>
    </w:p>
    <w:p>
      <w:pPr>
        <w:pStyle w:val="ListParagraph"/>
        <w:numPr>
          <w:ilvl w:val="0"/>
          <w:numId w:val="2"/>
        </w:numPr>
        <w:spacing w:after="40" w:before="40"/>
      </w:pPr>
      <w:r>
        <w:t xml:space="preserve">Zhang et al. — Statistical learning theory in Lean 4 (empirical processes, Dudley): ~30,000 lines (February 2026).</w:t>
      </w:r>
    </w:p>
    <w:p>
      <w:pPr>
        <w:spacing w:after="80" w:before="80" w:line="300"/>
        <w:jc w:val="both"/>
      </w:pPr>
      <w:r>
        <w:t xml:space="preserve">This regime change opens a strategic window for laboratories able to combine state-of-the-art mathematical expertise, cloud infrastructure, and software co-design. Domains where an experienced team can now formalize original results in a few months were out of reach only a year ago.</w:t>
      </w:r>
    </w:p>
    <w:p>
      <w:pPr>
        <w:pStyle w:val="Heading2"/>
        <w:spacing w:after="140" w:before="240"/>
      </w:pPr>
      <w:r>
        <w:t xml:space="preserve">2.2 Current coverage of the formal landscape</w:t>
      </w:r>
    </w:p>
    <w:p>
      <w:pPr>
        <w:spacing w:after="80" w:before="80" w:line="300"/>
        <w:jc w:val="both"/>
      </w:pPr>
      <w:r>
        <w:t xml:space="preserve">Status of the main formalization fronts in spring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pPr>
            <w:r>
              <w:rPr>
                <w:b/>
                <w:bCs/>
                <w:color w:val="FFFFFF"/>
                <w:sz w:val="20"/>
                <w:szCs w:val="20"/>
              </w:rPr>
              <w:t xml:space="preserve">Domain</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pPr>
            <w:r>
              <w:rPr>
                <w:b/>
                <w:bCs/>
                <w:color w:val="FFFFFF"/>
                <w:sz w:val="20"/>
                <w:szCs w:val="20"/>
              </w:rPr>
              <w:t xml:space="preserve">Lead</w:t>
            </w:r>
          </w:p>
        </w:tc>
        <w:tc>
          <w:tcPr>
            <w:tcW w:type="dxa" w:w="2826"/>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pPr>
            <w:r>
              <w:rPr>
                <w:b/>
                <w:bCs/>
                <w:color w:val="FFFFFF"/>
                <w:sz w:val="20"/>
                <w:szCs w:val="20"/>
              </w:rPr>
              <w:t xml:space="preserve">Status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Analytic number theory (strong PNT)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Math Inc. / Tao / Kontorovich</w:t>
            </w:r>
          </w:p>
        </w:tc>
        <w:tc>
          <w:tcPr>
            <w:tcW w:type="dxa" w:w="2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Completed</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Sphere packing (Viazovska)</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Math Inc.</w:t>
            </w:r>
          </w:p>
        </w:tc>
        <w:tc>
          <w:tcPr>
            <w:tcW w:type="dxa" w:w="28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Completed</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PFR conjecture (Marton)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Tao et al.</w:t>
            </w:r>
          </w:p>
        </w:tc>
        <w:tc>
          <w:tcPr>
            <w:tcW w:type="dxa" w:w="2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In progress, advanced</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General topology (Munkres)</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Urban (AI4REASON)</w:t>
            </w:r>
          </w:p>
        </w:tc>
        <w:tc>
          <w:tcPr>
            <w:tcW w:type="dxa" w:w="28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Completed</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Olympiads (IMO)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DeepMind (AlphaProof), OpenAI</w:t>
            </w:r>
          </w:p>
        </w:tc>
        <w:tc>
          <w:tcPr>
            <w:tcW w:type="dxa" w:w="2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Gold medal 2025</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Measure-theoretic probability (Mathlib)</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Rémy Degenne (INRIA)</w:t>
            </w:r>
          </w:p>
        </w:tc>
        <w:tc>
          <w:tcPr>
            <w:tcW w:type="dxa" w:w="28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Mature, expanding</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Empirical processes, concentration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Zhang et al.</w:t>
            </w:r>
          </w:p>
        </w:tc>
        <w:tc>
          <w:tcPr>
            <w:tcW w:type="dxa" w:w="2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First wave (Feb. 2026)</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Quantum information</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MerLean, Lean-QuantumInfo</w:t>
            </w:r>
          </w:p>
        </w:tc>
        <w:tc>
          <w:tcPr>
            <w:tcW w:type="dxa" w:w="28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In progress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Real and convex analysis (M2F)</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M2F project</w:t>
            </w:r>
          </w:p>
        </w:tc>
        <w:tc>
          <w:tcPr>
            <w:tcW w:type="dxa" w:w="2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Completed</w:t>
            </w:r>
          </w:p>
        </w:tc>
      </w:tr>
    </w:tbl>
    <w:p>
      <w:r>
        <w:t xml:space="preserve"/>
      </w:r>
    </w:p>
    <w:p>
      <w:pPr>
        <w:pStyle w:val="Heading2"/>
        <w:spacing w:after="140" w:before="240"/>
      </w:pPr>
      <w:r>
        <w:t xml:space="preserve">2.3 Remaining strategic space</w:t>
      </w:r>
    </w:p>
    <w:p>
      <w:pPr>
        <w:spacing w:after="80" w:before="80" w:line="300"/>
        <w:jc w:val="both"/>
      </w:pPr>
      <w:r>
        <w:t xml:space="preserve">Zhang et al.'s work covers the subdomain of empirical processes and high-dimensional regression in the Wainwright tradition. Outside this zone, mathematical statistics remains largely unformalized: estimator theory (M-estimators, Z-estimators, asymptotic normality, Fisher information, Cramér-Rao bound), nonparametric methods (k-nearest neighbors, kernel density estimation, U-statistics), general minimax theory, robust statistics, and causal inference. This scope corresponds to a statistical school distinct from Wainwright's, structured around the reference works of van der Vaart (Asymptotic Statistics), Devroye-Györfi-Lugosi (A Probabilistic Theory of Pattern Recognition), and Giraud (Introduction to High-Dimensional Statistics).</w:t>
      </w:r>
    </w:p>
    <w:p>
      <w:pPr>
        <w:pStyle w:val="Heading1"/>
        <w:spacing w:after="200" w:before="360"/>
      </w:pPr>
      <w:r>
        <w:t xml:space="preserve">3. The FormaStat Project</w:t>
      </w:r>
    </w:p>
    <w:p>
      <w:pPr>
        <w:pStyle w:val="Heading2"/>
        <w:spacing w:after="140" w:before="240"/>
      </w:pPr>
      <w:r>
        <w:t xml:space="preserve">3.1 Objectives</w:t>
      </w:r>
    </w:p>
    <w:p>
      <w:pPr>
        <w:pStyle w:val="ListParagraph"/>
        <w:numPr>
          <w:ilvl w:val="0"/>
          <w:numId w:val="3"/>
        </w:numPr>
        <w:spacing w:after="40" w:before="40"/>
      </w:pPr>
      <w:r>
        <w:t xml:space="preserve">Produce a public Lean 4 library covering an identified sub-corpus of high-dimensional and nonparametric statistics.</w:t>
      </w:r>
    </w:p>
    <w:p>
      <w:pPr>
        <w:pStyle w:val="ListParagraph"/>
        <w:numPr>
          <w:ilvl w:val="0"/>
          <w:numId w:val="3"/>
        </w:numPr>
        <w:spacing w:after="40" w:before="40"/>
      </w:pPr>
      <w:r>
        <w:t xml:space="preserve">Contribute upstream to Mathlib for results that fit within the library's scope.</w:t>
      </w:r>
    </w:p>
    <w:p>
      <w:pPr>
        <w:pStyle w:val="ListParagraph"/>
        <w:numPr>
          <w:ilvl w:val="0"/>
          <w:numId w:val="3"/>
        </w:numPr>
        <w:spacing w:after="40" w:before="40"/>
      </w:pPr>
      <w:r>
        <w:t xml:space="preserve">Develop a web interface (SCAI / Sorbonne Université) allowing researchers to submit mathematical statements, see them autoformalized, and check their consistency with the existing corpus.</w:t>
      </w:r>
    </w:p>
    <w:p>
      <w:pPr>
        <w:pStyle w:val="ListParagraph"/>
        <w:numPr>
          <w:ilvl w:val="0"/>
          <w:numId w:val="3"/>
        </w:numPr>
        <w:spacing w:after="40" w:before="40"/>
      </w:pPr>
      <w:r>
        <w:t xml:space="preserve">Establish a public autoformalization benchmark on this subdomain.</w:t>
      </w:r>
    </w:p>
    <w:p>
      <w:pPr>
        <w:pStyle w:val="ListParagraph"/>
        <w:numPr>
          <w:ilvl w:val="0"/>
          <w:numId w:val="3"/>
        </w:numPr>
        <w:spacing w:after="40" w:before="40"/>
      </w:pPr>
      <w:r>
        <w:t xml:space="preserve">Build at Sorbonne Université a sustained expertise in AI-assisted mathematical formalization.</w:t>
      </w:r>
    </w:p>
    <w:p>
      <w:pPr>
        <w:pStyle w:val="Heading2"/>
        <w:spacing w:after="140" w:before="240"/>
      </w:pPr>
      <w:r>
        <w:t xml:space="preserve">3.2 Candidate bibliographic targets</w:t>
      </w:r>
    </w:p>
    <w:p>
      <w:pPr>
        <w:spacing w:after="80" w:before="80" w:line="300"/>
        <w:jc w:val="both"/>
      </w:pPr>
      <w:r>
        <w:t xml:space="preserve">The exact scope will be defined with Gérard Biau. Reference works considered as candidate starting points:</w:t>
      </w:r>
    </w:p>
    <w:p>
      <w:pPr>
        <w:pStyle w:val="ListParagraph"/>
        <w:numPr>
          <w:ilvl w:val="0"/>
          <w:numId w:val="2"/>
        </w:numPr>
        <w:spacing w:after="40" w:before="40"/>
      </w:pPr>
      <w:r>
        <w:rPr>
          <w:b/>
          <w:bCs/>
        </w:rPr>
        <w:t xml:space="preserve">Introduction to High-Dimensional Statistics </w:t>
      </w:r>
      <w:r>
        <w:t xml:space="preserve">(C. Giraud, CRC Press) — chapter-by-chapter coverage of foundational results: lasso, model selection, minimax rates, graphical models.</w:t>
      </w:r>
    </w:p>
    <w:p>
      <w:pPr>
        <w:pStyle w:val="ListParagraph"/>
        <w:numPr>
          <w:ilvl w:val="0"/>
          <w:numId w:val="2"/>
        </w:numPr>
        <w:spacing w:after="40" w:before="40"/>
      </w:pPr>
      <w:r>
        <w:rPr>
          <w:b/>
          <w:bCs/>
        </w:rPr>
        <w:t xml:space="preserve">A Probabilistic Theory of Pattern Recognition </w:t>
      </w:r>
      <w:r>
        <w:t xml:space="preserve">(L. Devroye, L. Györfi, G. Lugosi) — nonparametric classification theory, consistency of plug-in rules, k-NN, partitions, trees.</w:t>
      </w:r>
    </w:p>
    <w:p>
      <w:pPr>
        <w:spacing w:after="80" w:before="80" w:line="300"/>
        <w:jc w:val="both"/>
      </w:pPr>
      <w:r>
        <w:t xml:space="preserve">These two works are complementary and allow a modular breakdown into sub-projects, each yielding an autonomous Lean deliverable and a potential Mathlib contribution.</w:t>
      </w:r>
    </w:p>
    <w:p>
      <w:pPr>
        <w:pStyle w:val="Heading2"/>
        <w:spacing w:after="140" w:before="240"/>
      </w:pPr>
      <w:r>
        <w:t xml:space="preserve">3.3 Why Sorbonne Université is well-positioned</w:t>
      </w:r>
    </w:p>
    <w:p>
      <w:pPr>
        <w:pStyle w:val="ListParagraph"/>
        <w:numPr>
          <w:ilvl w:val="0"/>
          <w:numId w:val="2"/>
        </w:numPr>
        <w:spacing w:after="40" w:before="40"/>
      </w:pPr>
      <w:r>
        <w:t xml:space="preserve">Recognized statistical expertise: Gérard Biau (LPSM) as scientific co-lead, embedded in Sorbonne's dense statistics ecosystem.</w:t>
      </w:r>
    </w:p>
    <w:p>
      <w:pPr>
        <w:pStyle w:val="ListParagraph"/>
        <w:numPr>
          <w:ilvl w:val="0"/>
          <w:numId w:val="2"/>
        </w:numPr>
        <w:spacing w:after="40" w:before="40"/>
      </w:pPr>
      <w:r>
        <w:t xml:space="preserve">Natural complementarity with probability formalization work already underway elsewhere in France: inferential statistics remains to be formalized, while probability is well on track.</w:t>
      </w:r>
    </w:p>
    <w:p>
      <w:pPr>
        <w:pStyle w:val="ListParagraph"/>
        <w:numPr>
          <w:ilvl w:val="0"/>
          <w:numId w:val="2"/>
        </w:numPr>
        <w:spacing w:after="40" w:before="40"/>
      </w:pPr>
      <w:r>
        <w:t xml:space="preserve">Existing SCAI infrastructure: GCP cloud experience, in-house data team, integration potential with educational programs.</w:t>
      </w:r>
    </w:p>
    <w:p>
      <w:pPr>
        <w:pStyle w:val="ListParagraph"/>
        <w:numPr>
          <w:ilvl w:val="0"/>
          <w:numId w:val="2"/>
        </w:numPr>
        <w:spacing w:after="40" w:before="40"/>
      </w:pPr>
      <w:r>
        <w:t xml:space="preserve">No French actor currently runs a structured program in statistical formalization. An original European positioning, complementary and non-competitive with the U.S. initiatives (Math Inc., DeepMind).</w:t>
      </w:r>
    </w:p>
    <w:p>
      <w:pPr>
        <w:pStyle w:val="Heading2"/>
        <w:spacing w:after="140" w:before="240"/>
      </w:pPr>
      <w:r>
        <w:t xml:space="preserve">3.4 Differentiation</w:t>
      </w:r>
    </w:p>
    <w:p>
      <w:pPr>
        <w:pStyle w:val="ListParagraph"/>
        <w:numPr>
          <w:ilvl w:val="0"/>
          <w:numId w:val="2"/>
        </w:numPr>
        <w:spacing w:after="40" w:before="40"/>
      </w:pPr>
      <w:r>
        <w:t xml:space="preserve">Domain: inferential and nonparametric statistics, deliberately disjoint from Math Inc.'s targets (number theory, geometry) and from Zhang et al.'s (empirical processes).</w:t>
      </w:r>
    </w:p>
    <w:p>
      <w:pPr>
        <w:pStyle w:val="ListParagraph"/>
        <w:numPr>
          <w:ilvl w:val="0"/>
          <w:numId w:val="2"/>
        </w:numPr>
        <w:spacing w:after="40" w:before="40"/>
      </w:pPr>
      <w:r>
        <w:t xml:space="preserve">Anchoring: co-direction by a senior statistician of international reputation, ensuring scientific quality of the formalized corpus.</w:t>
      </w:r>
    </w:p>
    <w:p>
      <w:pPr>
        <w:pStyle w:val="ListParagraph"/>
        <w:numPr>
          <w:ilvl w:val="0"/>
          <w:numId w:val="2"/>
        </w:numPr>
        <w:spacing w:after="40" w:before="40"/>
      </w:pPr>
      <w:r>
        <w:t xml:space="preserve">Applied output: open user interface, public benchmark, integration into the SCAI teaching ecosystem.</w:t>
      </w:r>
    </w:p>
    <w:p>
      <w:pPr>
        <w:pStyle w:val="ListParagraph"/>
        <w:numPr>
          <w:ilvl w:val="0"/>
          <w:numId w:val="2"/>
        </w:numPr>
        <w:spacing w:after="40" w:before="40"/>
      </w:pPr>
      <w:r>
        <w:t xml:space="preserve">Economics: tooled use of mature open-source building blocks (OpenGauss, Mathlib), no duplication of effort on the autoformalization harness itself.</w:t>
      </w:r>
    </w:p>
    <w:p>
      <w:pPr>
        <w:pStyle w:val="Heading1"/>
        <w:spacing w:after="200" w:before="360"/>
      </w:pPr>
      <w:r>
        <w:t xml:space="preserve">4. Year 1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526"/>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pPr>
            <w:r>
              <w:rPr>
                <w:b/>
                <w:bCs/>
                <w:color w:val="FFFFFF"/>
                <w:sz w:val="20"/>
                <w:szCs w:val="20"/>
              </w:rPr>
              <w:t xml:space="preserve">Quarter</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pPr>
            <w:r>
              <w:rPr>
                <w:b/>
                <w:bCs/>
                <w:color w:val="FFFFFF"/>
                <w:sz w:val="20"/>
                <w:szCs w:val="20"/>
              </w:rPr>
              <w:t xml:space="preserve">Objectives</w:t>
            </w:r>
          </w:p>
        </w:tc>
        <w:tc>
          <w:tcPr>
            <w:tcW w:type="dxa" w:w="3526"/>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pPr>
            <w:r>
              <w:rPr>
                <w:b/>
                <w:bCs/>
                <w:color w:val="FFFFFF"/>
                <w:sz w:val="20"/>
                <w:szCs w:val="20"/>
              </w:rPr>
              <w:t xml:space="preserve">Deliverables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Q1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Scientific scoping with G. Biau, selection of the sub-corpus (Giraud / Devroye chapters), OpenGauss deployment on GKE, Vertex AI Gemini integration, pilot on ~50 statements</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Public repo, operational pipeline, measured cost-per-theorem, pilot report</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Q2</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Scale-up on the selected sub-corpus, first Mathlib contributions, first version of the web interface (single-statement)</w:t>
            </w:r>
          </w:p>
        </w:tc>
        <w:tc>
          <w:tcPr>
            <w:tcW w:type="dxa" w:w="35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~300 formalized statements, web interface beta, workshop paper in preparation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Q3</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Corpus extension, public benchmark release, progressive opening to external contributions</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sz w:val="20"/>
                <w:szCs w:val="20"/>
              </w:rPr>
              <w:t xml:space="preserve">~700 statements, benchmark online, workshop paper submitted (AI4Math / ML4PS)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Q4</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Consolidation, documentation, Year-1 review, Year-2 plan</w:t>
            </w:r>
          </w:p>
        </w:tc>
        <w:tc>
          <w:tcPr>
            <w:tcW w:type="dxa" w:w="35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sz w:val="20"/>
                <w:szCs w:val="20"/>
              </w:rPr>
              <w:t xml:space="preserve">~1000 statements, workshop paper published, renewal request supported by metrics</w:t>
            </w:r>
          </w:p>
        </w:tc>
      </w:tr>
    </w:tbl>
    <w:p>
      <w:r>
        <w:t xml:space="preserve"/>
      </w:r>
    </w:p>
    <w:p>
      <w:pPr>
        <w:pStyle w:val="Heading2"/>
        <w:spacing w:after="140" w:before="240"/>
      </w:pPr>
      <w:r>
        <w:t xml:space="preserve">4.1 Success metrics</w:t>
      </w:r>
    </w:p>
    <w:p>
      <w:pPr>
        <w:pStyle w:val="ListParagraph"/>
        <w:numPr>
          <w:ilvl w:val="0"/>
          <w:numId w:val="2"/>
        </w:numPr>
        <w:spacing w:after="40" w:before="40"/>
      </w:pPr>
      <w:r>
        <w:t xml:space="preserve">Number of formalized and verified statements (Year-1 target: ~1000).</w:t>
      </w:r>
    </w:p>
    <w:p>
      <w:pPr>
        <w:pStyle w:val="ListParagraph"/>
        <w:numPr>
          <w:ilvl w:val="0"/>
          <w:numId w:val="2"/>
        </w:numPr>
        <w:spacing w:after="40" w:before="40"/>
      </w:pPr>
      <w:r>
        <w:t xml:space="preserve">Measured marginal cost per theorem (target: &lt; $30 on average, statement + proof).</w:t>
      </w:r>
    </w:p>
    <w:p>
      <w:pPr>
        <w:pStyle w:val="ListParagraph"/>
        <w:numPr>
          <w:ilvl w:val="0"/>
          <w:numId w:val="2"/>
        </w:numPr>
        <w:spacing w:after="40" w:before="40"/>
      </w:pPr>
      <w:r>
        <w:t xml:space="preserve">Number of pull requests accepted into Mathlib.</w:t>
      </w:r>
    </w:p>
    <w:p>
      <w:pPr>
        <w:pStyle w:val="ListParagraph"/>
        <w:numPr>
          <w:ilvl w:val="0"/>
          <w:numId w:val="2"/>
        </w:numPr>
        <w:spacing w:after="40" w:before="40"/>
      </w:pPr>
      <w:r>
        <w:t xml:space="preserve">Active users of the web interface (Year-1 target: 50 researchers).</w:t>
      </w:r>
    </w:p>
    <w:p>
      <w:pPr>
        <w:pStyle w:val="ListParagraph"/>
        <w:numPr>
          <w:ilvl w:val="0"/>
          <w:numId w:val="2"/>
        </w:numPr>
        <w:spacing w:after="40" w:before="40"/>
      </w:pPr>
      <w:r>
        <w:t xml:space="preserve">Scientific publication (workshop or conference) within Year 1.</w:t>
      </w:r>
    </w:p>
    <w:p>
      <w:pPr>
        <w:pStyle w:val="Heading2"/>
        <w:spacing w:after="140" w:before="240"/>
      </w:pPr>
      <w:r>
        <w:t xml:space="preserve">4.2 Risk management</w:t>
      </w:r>
    </w:p>
    <w:p>
      <w:pPr>
        <w:pStyle w:val="ListParagraph"/>
        <w:numPr>
          <w:ilvl w:val="0"/>
          <w:numId w:val="2"/>
        </w:numPr>
        <w:spacing w:after="40" w:before="40"/>
      </w:pPr>
      <w:r>
        <w:t xml:space="preserve">If autoformalization success rate is &lt; 20% on the sub-corpus by Q1, fall back to an assisted mode (LLM-accelerated manual formalization) in the style of Zhang et al.</w:t>
      </w:r>
    </w:p>
    <w:p>
      <w:pPr>
        <w:pStyle w:val="ListParagraph"/>
        <w:numPr>
          <w:ilvl w:val="0"/>
          <w:numId w:val="2"/>
        </w:numPr>
        <w:spacing w:after="40" w:before="40"/>
      </w:pPr>
      <w:r>
        <w:t xml:space="preserve">If Mathlib does not accept upstream PRs, fall back to a standalone library published under Apache-2.0, with a HuggingFace Datasets mirror.</w:t>
      </w:r>
    </w:p>
    <w:p>
      <w:pPr>
        <w:pStyle w:val="ListParagraph"/>
        <w:numPr>
          <w:ilvl w:val="0"/>
          <w:numId w:val="2"/>
        </w:numPr>
        <w:spacing w:after="40" w:before="40"/>
      </w:pPr>
      <w:r>
        <w:t xml:space="preserve">If the web interface fails to attract its audience, fall back on the public benchmark as the primary visibility deliverable.</w:t>
      </w:r>
    </w:p>
    <w:p>
      <w:pPr>
        <w:pStyle w:val="Heading1"/>
        <w:spacing w:after="200" w:before="360"/>
      </w:pPr>
      <w:r>
        <w:t xml:space="preserve">5. Technical Architecture</w:t>
      </w:r>
    </w:p>
    <w:p>
      <w:pPr>
        <w:pStyle w:val="Heading2"/>
        <w:spacing w:after="140" w:before="240"/>
      </w:pPr>
      <w:r>
        <w:t xml:space="preserve">5.1 High-level overview</w:t>
      </w:r>
    </w:p>
    <w:p>
      <w:pPr>
        <w:spacing w:after="80" w:before="80" w:line="300"/>
        <w:jc w:val="both"/>
      </w:pPr>
      <w:r>
        <w:t xml:space="preserve">The architecture decomposes into four layers:</w:t>
      </w:r>
    </w:p>
    <w:p>
      <w:pPr>
        <w:pStyle w:val="ListParagraph"/>
        <w:numPr>
          <w:ilvl w:val="0"/>
          <w:numId w:val="3"/>
        </w:numPr>
        <w:spacing w:after="40" w:before="40"/>
      </w:pPr>
      <w:r>
        <w:t xml:space="preserve">LLM layer — Vertex AI Gemini 3 Pro for expensive steps (initial autoformalization, proof repair), Gemini 3 Flash for cheaper steps (filtering, dependency analysis).</w:t>
      </w:r>
    </w:p>
    <w:p>
      <w:pPr>
        <w:pStyle w:val="ListParagraph"/>
        <w:numPr>
          <w:ilvl w:val="0"/>
          <w:numId w:val="3"/>
        </w:numPr>
        <w:spacing w:after="40" w:before="40"/>
      </w:pPr>
      <w:r>
        <w:t xml:space="preserve">Orchestration layer — OpenGauss deployed on GKE, agent swarm management, LSP/MCP integration with the Lean 4 toolchain.</w:t>
      </w:r>
    </w:p>
    <w:p>
      <w:pPr>
        <w:pStyle w:val="ListParagraph"/>
        <w:numPr>
          <w:ilvl w:val="0"/>
          <w:numId w:val="3"/>
        </w:numPr>
        <w:spacing w:after="40" w:before="40"/>
      </w:pPr>
      <w:r>
        <w:t xml:space="preserve">Storage and data layer — Cloud Storage for Lean code, Mathlib caches, and artifacts; in-cluster PostgreSQL with pgvector for corpus metadata and semantic search over the formalized corpus.</w:t>
      </w:r>
    </w:p>
    <w:p>
      <w:pPr>
        <w:pStyle w:val="ListParagraph"/>
        <w:numPr>
          <w:ilvl w:val="0"/>
          <w:numId w:val="3"/>
        </w:numPr>
        <w:spacing w:after="40" w:before="40"/>
      </w:pPr>
      <w:r>
        <w:t xml:space="preserve">Application layer — Web application (Cloud Run) exposing the user interface, the statement-submission API, and corpus browsing.</w:t>
      </w:r>
    </w:p>
    <w:p>
      <w:pPr>
        <w:pStyle w:val="Heading2"/>
        <w:spacing w:after="140" w:before="240"/>
      </w:pPr>
      <w:r>
        <w:t xml:space="preserve">5.2 Third-party tools and open-source dependencies</w:t>
      </w:r>
    </w:p>
    <w:p>
      <w:pPr>
        <w:pStyle w:val="ListParagraph"/>
        <w:numPr>
          <w:ilvl w:val="0"/>
          <w:numId w:val="2"/>
        </w:numPr>
        <w:spacing w:after="40" w:before="40"/>
      </w:pPr>
      <w:r>
        <w:t xml:space="preserve">OpenGauss (Math Inc., permissive license) — autoformalization harness.</w:t>
      </w:r>
    </w:p>
    <w:p>
      <w:pPr>
        <w:pStyle w:val="ListParagraph"/>
        <w:numPr>
          <w:ilvl w:val="0"/>
          <w:numId w:val="2"/>
        </w:numPr>
        <w:spacing w:after="40" w:before="40"/>
      </w:pPr>
      <w:r>
        <w:t xml:space="preserve">Mathlib 4 (Apache-2.0) — target mathematical library.</w:t>
      </w:r>
    </w:p>
    <w:p>
      <w:pPr>
        <w:pStyle w:val="ListParagraph"/>
        <w:numPr>
          <w:ilvl w:val="0"/>
          <w:numId w:val="2"/>
        </w:numPr>
        <w:spacing w:after="40" w:before="40"/>
      </w:pPr>
      <w:r>
        <w:t xml:space="preserve">Lean 4 toolchain — compiler, LSP, elan.</w:t>
      </w:r>
    </w:p>
    <w:p>
      <w:pPr>
        <w:pStyle w:val="ListParagraph"/>
        <w:numPr>
          <w:ilvl w:val="0"/>
          <w:numId w:val="2"/>
        </w:numPr>
        <w:spacing w:after="40" w:before="40"/>
      </w:pPr>
      <w:r>
        <w:t xml:space="preserve">lean4-skills (Cameron Freer) — tactics toolkit.</w:t>
      </w:r>
    </w:p>
    <w:p>
      <w:pPr>
        <w:pStyle w:val="ListParagraph"/>
        <w:numPr>
          <w:ilvl w:val="0"/>
          <w:numId w:val="2"/>
        </w:numPr>
        <w:spacing w:after="40" w:before="40"/>
      </w:pPr>
      <w:r>
        <w:t xml:space="preserve">Vertex AI SDK for Python (Google Cloud).</w:t>
      </w:r>
    </w:p>
    <w:p>
      <w:pPr>
        <w:pStyle w:val="Heading1"/>
        <w:spacing w:after="200" w:before="360"/>
      </w:pPr>
      <w:r>
        <w:t xml:space="preserve">6. Governance and Team</w:t>
      </w:r>
    </w:p>
    <w:p>
      <w:pPr>
        <w:pStyle w:val="ListParagraph"/>
        <w:numPr>
          <w:ilvl w:val="0"/>
          <w:numId w:val="2"/>
        </w:numPr>
        <w:spacing w:after="40" w:before="40"/>
      </w:pPr>
      <w:r>
        <w:rPr>
          <w:b/>
          <w:bCs/>
        </w:rPr>
        <w:t xml:space="preserve">Principal Investigator: </w:t>
      </w:r>
      <w:r>
        <w:t xml:space="preserve">Raphaël Cousin (Head of Data, SCAI). Operational leadership, GCP, infrastructure, team.</w:t>
      </w:r>
    </w:p>
    <w:p>
      <w:pPr>
        <w:pStyle w:val="ListParagraph"/>
        <w:numPr>
          <w:ilvl w:val="0"/>
          <w:numId w:val="2"/>
        </w:numPr>
        <w:spacing w:after="40" w:before="40"/>
      </w:pPr>
      <w:r>
        <w:rPr>
          <w:b/>
          <w:bCs/>
        </w:rPr>
        <w:t xml:space="preserve">Scientific Co-Lead: </w:t>
      </w:r>
      <w:r>
        <w:t xml:space="preserve">Gérard Biau (LPSM, Sorbonne Université). Target selection, review of formalized statements and proofs, ~2 hours/week.</w:t>
      </w:r>
    </w:p>
    <w:p>
      <w:pPr>
        <w:pStyle w:val="ListParagraph"/>
        <w:numPr>
          <w:ilvl w:val="0"/>
          <w:numId w:val="2"/>
        </w:numPr>
        <w:spacing w:after="40" w:before="40"/>
      </w:pPr>
      <w:r>
        <w:rPr>
          <w:b/>
          <w:bCs/>
        </w:rPr>
        <w:t xml:space="preserve">Technical team: </w:t>
      </w:r>
      <w:r>
        <w:t xml:space="preserve">1 SCAI data scientist (~50% FTE), reinforced by an intern or fixed-term hire as the workload scales.</w:t>
      </w:r>
    </w:p>
    <w:p>
      <w:pPr>
        <w:pStyle w:val="ListParagraph"/>
        <w:numPr>
          <w:ilvl w:val="0"/>
          <w:numId w:val="2"/>
        </w:numPr>
        <w:spacing w:after="40" w:before="40"/>
      </w:pPr>
      <w:r>
        <w:rPr>
          <w:b/>
          <w:bCs/>
        </w:rPr>
        <w:t xml:space="preserve">Openness: </w:t>
      </w:r>
      <w:r>
        <w:t xml:space="preserve">the project is intended to progressively open up to collaborations with other laboratories (statistics, Lean / Mathlib ecosystem), based on opportunities identified over the course of Year 1.</w:t>
      </w:r>
    </w:p>
    <w:p>
      <w:pPr>
        <w:pStyle w:val="Heading1"/>
        <w:spacing w:after="200" w:before="360"/>
      </w:pPr>
      <w:r>
        <w:t xml:space="preserve">7. Google Cloud Platform Budget</w:t>
      </w:r>
    </w:p>
    <w:p>
      <w:pPr>
        <w:spacing w:after="80" w:before="80" w:line="300"/>
        <w:jc w:val="both"/>
      </w:pPr>
      <w:r>
        <w:t xml:space="preserve">The requested quarterly envelope is ~$26,000 (≈ $9,100 / month × 3), or ~$104,000 per year. It breaks down primarily across Gemini token consumption on Vertex AI for the autoformalization loop (~65%), a GKE infrastructure for OpenGauss orchestration and Lean elaboration (~30%), and a set of application and storage services (Cloud Run, Cloud Storage, Cloud Logging, ~5%).</w:t>
      </w:r>
    </w:p>
    <w:p>
      <w:pPr>
        <w:spacing w:after="80" w:before="80" w:line="300"/>
        <w:jc w:val="both"/>
      </w:pPr>
      <w:r>
        <w:t xml:space="preserve">The complete, itemized cost estimate, broken down by service and SKU, is available directly on the Google Cloud Pricing Calculator at the following URL:</w:t>
      </w:r>
    </w:p>
    <w:p>
      <w:pPr>
        <w:spacing w:after="120" w:before="120" w:line="300"/>
        <w:jc w:val="left"/>
      </w:pPr>
      <w:r>
        <w:rPr>
          <w:color w:val="0563C1"/>
          <w:sz w:val="18"/>
          <w:szCs w:val="18"/>
          <w:u w:val="single" w:color="0563C1"/>
        </w:rPr>
        <w:t xml:space="preserve">https://cloud.google.com/products/calculator?hl=en&amp;dl=CjhDaVEyWkdVeVpHVXpNeTAyWXpnekxUUmpZell0T0dVME5pMWtOV0l3T0dSaVlqVTVPREVRQVE9PRAPGiQyRTQ0RkI3NC1CNzZDLTQwQkUtQTE1MC05NTRCMTgwM0U3MEY</w:t>
      </w:r>
    </w:p>
    <w:p>
      <w:pPr>
        <w:spacing w:after="80" w:before="80" w:line="300"/>
        <w:jc w:val="both"/>
      </w:pPr>
      <w:r>
        <w:t xml:space="preserve">This estimate will be revised at each quarterly renewal based on observed actual consumption, with architecture adjustments where appropriate (switching autoformalization workers to Spot mode, sizing the GKE cluster to formalization throughput, scaling storage to corpus growth).</w:t>
      </w:r>
    </w:p>
    <w:p>
      <w:pPr>
        <w:pStyle w:val="Heading2"/>
        <w:spacing w:after="140" w:before="240"/>
      </w:pPr>
      <w:r>
        <w:t xml:space="preserve">7.1 Main cost driver — Vertex AI Gemini</w:t>
      </w:r>
    </w:p>
    <w:p>
      <w:pPr>
        <w:spacing w:after="80" w:before="80" w:line="300"/>
        <w:jc w:val="both"/>
      </w:pPr>
      <w:r>
        <w:t xml:space="preserve">The autoformalization loop relies on Gemini 3 Pro (critical steps: proof generation, reasoning) and Gemini 3 Flash (cheaper steps: dependency analysis, tactic suggestions, filtering), both used in Batch Predictions mode to benefit from Google Cloud's reduced batch pricing.</w:t>
      </w:r>
    </w:p>
    <w:p>
      <w:pPr>
        <w:pStyle w:val="ListParagraph"/>
        <w:numPr>
          <w:ilvl w:val="0"/>
          <w:numId w:val="2"/>
        </w:numPr>
        <w:spacing w:after="40" w:before="40"/>
      </w:pPr>
      <w:r>
        <w:t xml:space="preserve">Target monthly volume: ~1.8 billion input tokens and ~135 million output tokens on Gemini 3 Pro, with a comparable cascade on Gemini 3 Flash.</w:t>
      </w:r>
    </w:p>
    <w:p>
      <w:pPr>
        <w:pStyle w:val="ListParagraph"/>
        <w:numPr>
          <w:ilvl w:val="0"/>
          <w:numId w:val="2"/>
        </w:numPr>
        <w:spacing w:after="40" w:before="40"/>
      </w:pPr>
      <w:r>
        <w:t xml:space="preserve">A non-trivial formalization attempt typically consumes 0.5–5 M cumulative tokens (multiple agent iterations).</w:t>
      </w:r>
    </w:p>
    <w:p>
      <w:pPr>
        <w:pStyle w:val="ListParagraph"/>
        <w:numPr>
          <w:ilvl w:val="0"/>
          <w:numId w:val="2"/>
        </w:numPr>
        <w:spacing w:after="40" w:before="40"/>
      </w:pPr>
      <w:r>
        <w:t xml:space="preserve">Across a quarter, this volume enables several thousand attempts, yielding — after filtering failures — several hundred to one thousand validated theorems.</w:t>
      </w:r>
    </w:p>
    <w:p>
      <w:pPr>
        <w:pStyle w:val="ListParagraph"/>
        <w:numPr>
          <w:ilvl w:val="0"/>
          <w:numId w:val="2"/>
        </w:numPr>
        <w:spacing w:after="40" w:before="40"/>
      </w:pPr>
      <w:r>
        <w:t xml:space="preserve">Consumption assumptions will be refined as early as the Q1 pilot, which will measure actual marginal cost per theorem on the chosen sub-corpus.</w:t>
      </w:r>
    </w:p>
    <w:p>
      <w:pPr>
        <w:pStyle w:val="Heading2"/>
        <w:spacing w:after="140" w:before="240"/>
      </w:pPr>
      <w:r>
        <w:t xml:space="preserve">7.2 Other items — architectural choices</w:t>
      </w:r>
    </w:p>
    <w:p>
      <w:pPr>
        <w:pStyle w:val="Heading3"/>
        <w:spacing w:after="100" w:before="180"/>
      </w:pPr>
      <w:r>
        <w:t xml:space="preserve">GKE — orchestration and Lean CI</w:t>
      </w:r>
    </w:p>
    <w:p>
      <w:pPr>
        <w:pStyle w:val="ListParagraph"/>
        <w:numPr>
          <w:ilvl w:val="0"/>
          <w:numId w:val="2"/>
        </w:numPr>
        <w:spacing w:after="40" w:before="40"/>
      </w:pPr>
      <w:r>
        <w:t xml:space="preserve">Zonal cluster in europe-west1 (Belgium), for EU data residency.</w:t>
      </w:r>
    </w:p>
    <w:p>
      <w:pPr>
        <w:pStyle w:val="ListParagraph"/>
        <w:numPr>
          <w:ilvl w:val="0"/>
          <w:numId w:val="2"/>
        </w:numPr>
        <w:spacing w:after="40" w:before="40"/>
      </w:pPr>
      <w:r>
        <w:t xml:space="preserve">Primarily CPU-bound compute (Lean elaboration is CPU-intensive), with Spot/Preemptible mode being considered for interruptible jobs to optimize cost.</w:t>
      </w:r>
    </w:p>
    <w:p>
      <w:pPr>
        <w:pStyle w:val="ListParagraph"/>
        <w:numPr>
          <w:ilvl w:val="0"/>
          <w:numId w:val="2"/>
        </w:numPr>
        <w:spacing w:after="40" w:before="40"/>
      </w:pPr>
      <w:r>
        <w:t xml:space="preserve">Persistent storage sized to host Mathlib caches, Lean artifacts, and agent swarm state.</w:t>
      </w:r>
    </w:p>
    <w:p>
      <w:pPr>
        <w:pStyle w:val="Heading3"/>
        <w:spacing w:after="100" w:before="180"/>
      </w:pPr>
      <w:r>
        <w:t xml:space="preserve">Cloud Run — web interface</w:t>
      </w:r>
    </w:p>
    <w:p>
      <w:pPr>
        <w:pStyle w:val="ListParagraph"/>
        <w:numPr>
          <w:ilvl w:val="0"/>
          <w:numId w:val="2"/>
        </w:numPr>
        <w:spacing w:after="40" w:before="40"/>
      </w:pPr>
      <w:r>
        <w:t xml:space="preserve">Stateless service for the user interface and the statement-submission API.</w:t>
      </w:r>
    </w:p>
    <w:p>
      <w:pPr>
        <w:pStyle w:val="ListParagraph"/>
        <w:numPr>
          <w:ilvl w:val="0"/>
          <w:numId w:val="2"/>
        </w:numPr>
        <w:spacing w:after="40" w:before="40"/>
      </w:pPr>
      <w:r>
        <w:t xml:space="preserve">Auto-scaling 0 → N, modest sizing in Year 1 (internal Sorbonne users + early invited researchers).</w:t>
      </w:r>
    </w:p>
    <w:p>
      <w:pPr>
        <w:pStyle w:val="Heading3"/>
        <w:spacing w:after="100" w:before="180"/>
      </w:pPr>
      <w:r>
        <w:t xml:space="preserve">Metadata database</w:t>
      </w:r>
    </w:p>
    <w:p>
      <w:pPr>
        <w:pStyle w:val="ListParagraph"/>
        <w:numPr>
          <w:ilvl w:val="0"/>
          <w:numId w:val="2"/>
        </w:numPr>
        <w:spacing w:after="40" w:before="40"/>
      </w:pPr>
      <w:r>
        <w:t xml:space="preserve">PostgreSQL deployed directly within the GKE cluster (with pgvector for semantic search), rather than Cloud SQL, to consolidate infrastructure and reduce costs. The SCAI team already operates this deployment pattern.</w:t>
      </w:r>
    </w:p>
    <w:p>
      <w:pPr>
        <w:pStyle w:val="Heading3"/>
        <w:spacing w:after="100" w:before="180"/>
      </w:pPr>
      <w:r>
        <w:t xml:space="preserve">Cloud Storage and observability</w:t>
      </w:r>
    </w:p>
    <w:p>
      <w:pPr>
        <w:pStyle w:val="ListParagraph"/>
        <w:numPr>
          <w:ilvl w:val="0"/>
          <w:numId w:val="2"/>
        </w:numPr>
        <w:spacing w:after="40" w:before="40"/>
      </w:pPr>
      <w:r>
        <w:t xml:space="preserve">Standard EU bucket for Lean artifacts, Mathlib caches, HuggingFace Datasets exports.</w:t>
      </w:r>
    </w:p>
    <w:p>
      <w:pPr>
        <w:pStyle w:val="ListParagraph"/>
        <w:numPr>
          <w:ilvl w:val="0"/>
          <w:numId w:val="2"/>
        </w:numPr>
        <w:spacing w:after="40" w:before="40"/>
      </w:pPr>
      <w:r>
        <w:t xml:space="preserve">Cloud Logging / Monitoring for autoformalization pipeline traces and application observability.</w:t>
      </w:r>
    </w:p>
    <w:p>
      <w:pPr>
        <w:pStyle w:val="Heading1"/>
        <w:spacing w:after="200" w:before="360"/>
      </w:pPr>
      <w:r>
        <w:t xml:space="preserve">8. Year 1 Deliverables</w:t>
      </w:r>
    </w:p>
    <w:p>
      <w:pPr>
        <w:pStyle w:val="ListParagraph"/>
        <w:numPr>
          <w:ilvl w:val="0"/>
          <w:numId w:val="2"/>
        </w:numPr>
        <w:spacing w:after="40" w:before="40"/>
      </w:pPr>
      <w:r>
        <w:t xml:space="preserve">Public Lean 4 library, ~1,000 verified statements, Apache-2.0 license, GitHub repository hosted by SCAI.</w:t>
      </w:r>
    </w:p>
    <w:p>
      <w:pPr>
        <w:pStyle w:val="ListParagraph"/>
        <w:numPr>
          <w:ilvl w:val="0"/>
          <w:numId w:val="2"/>
        </w:numPr>
        <w:spacing w:after="40" w:before="40"/>
      </w:pPr>
      <w:r>
        <w:t xml:space="preserve">Pull requests submitted to Mathlib for results within its scope.</w:t>
      </w:r>
    </w:p>
    <w:p>
      <w:pPr>
        <w:pStyle w:val="ListParagraph"/>
        <w:numPr>
          <w:ilvl w:val="0"/>
          <w:numId w:val="2"/>
        </w:numPr>
        <w:spacing w:after="40" w:before="40"/>
      </w:pPr>
      <w:r>
        <w:t xml:space="preserve">Public web interface for single-statement submission, hosted on Sorbonne / SCAI infrastructure.</w:t>
      </w:r>
    </w:p>
    <w:p>
      <w:pPr>
        <w:pStyle w:val="ListParagraph"/>
        <w:numPr>
          <w:ilvl w:val="0"/>
          <w:numId w:val="2"/>
        </w:numPr>
        <w:spacing w:after="40" w:before="40"/>
      </w:pPr>
      <w:r>
        <w:t xml:space="preserve">Public autoformalization benchmark on the subdomain, open to the community.</w:t>
      </w:r>
    </w:p>
    <w:p>
      <w:pPr>
        <w:pStyle w:val="ListParagraph"/>
        <w:numPr>
          <w:ilvl w:val="0"/>
          <w:numId w:val="2"/>
        </w:numPr>
        <w:spacing w:after="40" w:before="40"/>
      </w:pPr>
      <w:r>
        <w:t xml:space="preserve">Dataset of formalized statements and proofs, mirrored on HuggingFace Datasets.</w:t>
      </w:r>
    </w:p>
    <w:p>
      <w:pPr>
        <w:pStyle w:val="ListParagraph"/>
        <w:numPr>
          <w:ilvl w:val="0"/>
          <w:numId w:val="2"/>
        </w:numPr>
        <w:spacing w:after="40" w:before="40"/>
      </w:pPr>
      <w:r>
        <w:t xml:space="preserve">Scientific publication (ICML / NeurIPS AI4Math workshop or equivalent).</w:t>
      </w:r>
    </w:p>
    <w:p>
      <w:pPr>
        <w:pStyle w:val="ListParagraph"/>
        <w:numPr>
          <w:ilvl w:val="0"/>
          <w:numId w:val="2"/>
        </w:numPr>
        <w:spacing w:after="40" w:before="40"/>
      </w:pPr>
      <w:r>
        <w:t xml:space="preserve">Quarterly reports on progress and GCP consumption.</w:t>
      </w:r>
    </w:p>
    <w:p>
      <w:pPr>
        <w:pStyle w:val="Heading1"/>
        <w:spacing w:after="200" w:before="360"/>
      </w:pPr>
      <w:r>
        <w:t xml:space="preserve">9. Conclusion</w:t>
      </w:r>
    </w:p>
    <w:p>
      <w:pPr>
        <w:spacing w:after="80" w:before="80" w:line="300"/>
        <w:jc w:val="both"/>
      </w:pPr>
      <w:r>
        <w:t xml:space="preserve">FormaStat positions Sorbonne Université at the intersection of three converging trends: the maturation of autoformalization, the progressive formalization of statistical foundations, and the emergence of cloud infrastructure making such projects accessible to academic teams. The project draws on a domain where Sorbonne holds world-class expertise (mathematical statistics, anchored by Gérard Biau and the LPSM ecosystem), leverages mature open-source tooling rather than competing with it, and produces public artifacts whose scientific and applied value extends well beyond Year 1.</w:t>
      </w:r>
    </w:p>
    <w:p>
      <w:pPr>
        <w:spacing w:after="80" w:before="80" w:line="300"/>
        <w:jc w:val="both"/>
      </w:pPr>
      <w:r>
        <w:t xml:space="preserve">The requested envelope of ~$26,000 per quarter, renewable, represents a modest investment relative to the expected scientific and institutional return. A mid-year review will allow scope and trajectory to be revisited based on the results of the Q1 pilot.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FormaStat — GCP Credits Request — SCAI Sorbonne Université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2026-05-19T17:34:38.717Z</dcterms:created>
  <dcterms:modified xsi:type="dcterms:W3CDTF">2026-05-19T17:34:38.731Z</dcterms:modified>
</cp:coreProperties>
</file>

<file path=docProps/custom.xml><?xml version="1.0" encoding="utf-8"?>
<Properties xmlns="http://schemas.openxmlformats.org/officeDocument/2006/custom-properties" xmlns:vt="http://schemas.openxmlformats.org/officeDocument/2006/docPropsVTypes"/>
</file>