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B72A6E" w14:paraId="17245C7F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nil"/>
              <w:left w:val="nil"/>
              <w:bottom w:val="nil"/>
              <w:right w:val="nil"/>
            </w:tcBorders>
            <w:shd w:val="clear" w:color="auto" w:fill="1B3A5C"/>
            <w:tcMar>
              <w:top w:w="400" w:type="dxa"/>
              <w:left w:w="500" w:type="dxa"/>
              <w:bottom w:w="400" w:type="dxa"/>
              <w:right w:w="500" w:type="dxa"/>
            </w:tcMar>
          </w:tcPr>
          <w:p w14:paraId="21EC53F2" w14:textId="77777777" w:rsidR="00B72A6E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72"/>
                <w:szCs w:val="72"/>
              </w:rPr>
              <w:t>WASEL</w:t>
            </w:r>
          </w:p>
          <w:p w14:paraId="025D4296" w14:textId="77777777" w:rsidR="00B72A6E" w:rsidRDefault="00000000">
            <w:pPr>
              <w:spacing w:after="120"/>
              <w:jc w:val="center"/>
            </w:pPr>
            <w:r>
              <w:rPr>
                <w:color w:val="88BBDD"/>
                <w:sz w:val="30"/>
                <w:szCs w:val="30"/>
              </w:rPr>
              <w:t>Total Addressable Market Analysis</w:t>
            </w:r>
          </w:p>
          <w:p w14:paraId="4ED01589" w14:textId="77777777" w:rsidR="00B72A6E" w:rsidRDefault="00000000">
            <w:pPr>
              <w:spacing w:after="120"/>
              <w:jc w:val="center"/>
            </w:pPr>
            <w:r>
              <w:rPr>
                <w:b/>
                <w:bCs/>
                <w:color w:val="AACCFF"/>
                <w:sz w:val="28"/>
                <w:szCs w:val="28"/>
              </w:rPr>
              <w:t>Jordan | Iraq | Egypt</w:t>
            </w:r>
          </w:p>
          <w:p w14:paraId="1FD70696" w14:textId="77777777" w:rsidR="00B72A6E" w:rsidRDefault="00000000">
            <w:pPr>
              <w:jc w:val="center"/>
            </w:pPr>
            <w:r>
              <w:rPr>
                <w:color w:val="778899"/>
              </w:rPr>
              <w:t xml:space="preserve">Investor-Ready Market </w:t>
            </w:r>
            <w:proofErr w:type="gramStart"/>
            <w:r>
              <w:rPr>
                <w:color w:val="778899"/>
              </w:rPr>
              <w:t>Sizing  •</w:t>
            </w:r>
            <w:proofErr w:type="gramEnd"/>
            <w:r>
              <w:rPr>
                <w:color w:val="778899"/>
              </w:rPr>
              <w:t xml:space="preserve">  February 2026</w:t>
            </w:r>
          </w:p>
        </w:tc>
      </w:tr>
    </w:tbl>
    <w:p w14:paraId="68FD29DC" w14:textId="77777777" w:rsidR="00B72A6E" w:rsidRDefault="00B72A6E">
      <w:pPr>
        <w:spacing w:before="200" w:after="200"/>
      </w:pPr>
    </w:p>
    <w:p w14:paraId="533BBFD4" w14:textId="77777777" w:rsidR="00B72A6E" w:rsidRDefault="00000000">
      <w:pPr>
        <w:spacing w:before="60" w:after="60"/>
      </w:pPr>
      <w:r>
        <w:rPr>
          <w:b/>
          <w:bCs/>
          <w:color w:val="0D7A6E"/>
          <w:sz w:val="14"/>
          <w:szCs w:val="14"/>
        </w:rPr>
        <w:t>EXECUTIVE SUMMARY</w:t>
      </w:r>
    </w:p>
    <w:p w14:paraId="363AF8DD" w14:textId="77777777" w:rsidR="00B72A6E" w:rsidRDefault="00B72A6E">
      <w:pPr>
        <w:pBdr>
          <w:bottom w:val="single" w:sz="4" w:space="1" w:color="0D7A6E"/>
        </w:pBdr>
        <w:spacing w:after="160"/>
      </w:pPr>
    </w:p>
    <w:p w14:paraId="0F6A0FC1" w14:textId="77777777" w:rsidR="00B72A6E" w:rsidRDefault="00000000">
      <w:pPr>
        <w:spacing w:before="60" w:after="60"/>
      </w:pPr>
      <w:r>
        <w:rPr>
          <w:color w:val="5A5A5A"/>
        </w:rPr>
        <w:t>Wasel is a subscription-based ride-hailing platform targeting the non-GCC Arab world, beginning in Amman, Jordan. Instead of extracting 25–30% commissions per ride, Wasel charges drivers a flat monthly fee (JD 20–55) and lets them keep 100% of fare revenue. This document presents a rigorous, multi-method TAM/SAM/SOM analysis for Jordan, Iraq, and Egypt — grounded in analyst data from Grand View Research, Astute Analytica, and Statista/Cognitive Market Research, cross-validated with bottom-up unit economics.</w:t>
      </w:r>
    </w:p>
    <w:p w14:paraId="72EB0DF1" w14:textId="77777777" w:rsidR="00B72A6E" w:rsidRDefault="00B72A6E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0"/>
        <w:gridCol w:w="300"/>
        <w:gridCol w:w="2920"/>
        <w:gridCol w:w="300"/>
        <w:gridCol w:w="2920"/>
      </w:tblGrid>
      <w:tr w:rsidR="00B72A6E" w14:paraId="22C93027" w14:textId="77777777">
        <w:tblPrEx>
          <w:tblCellMar>
            <w:top w:w="0" w:type="dxa"/>
            <w:bottom w:w="0" w:type="dxa"/>
          </w:tblCellMar>
        </w:tblPrEx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1B3A5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E82C48C" w14:textId="77777777" w:rsidR="00B72A6E" w:rsidRDefault="00000000">
            <w:pPr>
              <w:spacing w:after="40"/>
              <w:jc w:val="center"/>
            </w:pPr>
            <w:r>
              <w:rPr>
                <w:color w:val="CCEEFF"/>
                <w:sz w:val="17"/>
                <w:szCs w:val="17"/>
              </w:rPr>
              <w:t>Combined 3-Country TAM</w:t>
            </w:r>
          </w:p>
          <w:p w14:paraId="39BAFB36" w14:textId="77777777" w:rsidR="00B72A6E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$2.15B+</w:t>
            </w:r>
          </w:p>
          <w:p w14:paraId="554423FA" w14:textId="77777777" w:rsidR="00B72A6E" w:rsidRDefault="00000000">
            <w:pPr>
              <w:jc w:val="center"/>
            </w:pPr>
            <w:r>
              <w:rPr>
                <w:color w:val="AADDCC"/>
                <w:sz w:val="15"/>
                <w:szCs w:val="15"/>
              </w:rPr>
              <w:t>Ride-hailing gross market (2025)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251419" w14:textId="77777777" w:rsidR="00B72A6E" w:rsidRDefault="00B72A6E"/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0D7A6E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380DA99" w14:textId="77777777" w:rsidR="00B72A6E" w:rsidRDefault="00000000">
            <w:pPr>
              <w:spacing w:after="40"/>
              <w:jc w:val="center"/>
            </w:pPr>
            <w:r>
              <w:rPr>
                <w:color w:val="CCEEFF"/>
                <w:sz w:val="17"/>
                <w:szCs w:val="17"/>
              </w:rPr>
              <w:t>Wasel Subscription TAM</w:t>
            </w:r>
          </w:p>
          <w:p w14:paraId="114EFF6B" w14:textId="77777777" w:rsidR="00B72A6E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$73M</w:t>
            </w:r>
          </w:p>
          <w:p w14:paraId="1EA96B90" w14:textId="77777777" w:rsidR="00B72A6E" w:rsidRDefault="00000000">
            <w:pPr>
              <w:jc w:val="center"/>
            </w:pPr>
            <w:r>
              <w:rPr>
                <w:color w:val="AADDCC"/>
                <w:sz w:val="15"/>
                <w:szCs w:val="15"/>
              </w:rPr>
              <w:t>Driver subscriptions, full penetration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035EC" w14:textId="77777777" w:rsidR="00B72A6E" w:rsidRDefault="00B72A6E"/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1A6B5E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B718AEF" w14:textId="77777777" w:rsidR="00B72A6E" w:rsidRDefault="00000000">
            <w:pPr>
              <w:spacing w:after="40"/>
              <w:jc w:val="center"/>
            </w:pPr>
            <w:r>
              <w:rPr>
                <w:color w:val="CCEEFF"/>
                <w:sz w:val="17"/>
                <w:szCs w:val="17"/>
              </w:rPr>
              <w:t>5-Year SOM (Year 5)</w:t>
            </w:r>
          </w:p>
          <w:p w14:paraId="1DEBB164" w14:textId="77777777" w:rsidR="00B72A6E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$9.2M</w:t>
            </w:r>
          </w:p>
          <w:p w14:paraId="76011680" w14:textId="77777777" w:rsidR="00B72A6E" w:rsidRDefault="00000000">
            <w:pPr>
              <w:jc w:val="center"/>
            </w:pPr>
            <w:r>
              <w:rPr>
                <w:color w:val="AADDCC"/>
                <w:sz w:val="15"/>
                <w:szCs w:val="15"/>
              </w:rPr>
              <w:t>Subscription + ancillary revenue</w:t>
            </w:r>
          </w:p>
        </w:tc>
      </w:tr>
    </w:tbl>
    <w:p w14:paraId="1B490131" w14:textId="77777777" w:rsidR="00B72A6E" w:rsidRDefault="00B72A6E">
      <w:pPr>
        <w:spacing w:before="200" w:after="200"/>
      </w:pPr>
    </w:p>
    <w:p w14:paraId="5ABF710B" w14:textId="77777777" w:rsidR="00B72A6E" w:rsidRDefault="00B72A6E">
      <w:pPr>
        <w:pBdr>
          <w:bottom w:val="single" w:sz="8" w:space="1" w:color="0D7A6E"/>
        </w:pBdr>
        <w:spacing w:before="160" w:after="160"/>
      </w:pPr>
    </w:p>
    <w:p w14:paraId="7D608E55" w14:textId="77777777" w:rsidR="00B72A6E" w:rsidRDefault="00000000">
      <w:pPr>
        <w:spacing w:before="320" w:after="120"/>
      </w:pPr>
      <w:r>
        <w:rPr>
          <w:b/>
          <w:bCs/>
          <w:color w:val="1B3A5C"/>
          <w:sz w:val="34"/>
          <w:szCs w:val="34"/>
        </w:rPr>
        <w:t>SECTION 1 — TOP-DOWN ANALYSIS: GLOBAL → MENA → TARGET MARKETS</w:t>
      </w:r>
    </w:p>
    <w:p w14:paraId="7C413CD3" w14:textId="77777777" w:rsidR="00B72A6E" w:rsidRDefault="00B72A6E">
      <w:pPr>
        <w:pBdr>
          <w:bottom w:val="single" w:sz="8" w:space="1" w:color="0D7A6E"/>
        </w:pBdr>
        <w:spacing w:before="160" w:after="160"/>
      </w:pPr>
    </w:p>
    <w:p w14:paraId="6DC764B5" w14:textId="77777777" w:rsidR="00B72A6E" w:rsidRDefault="00000000">
      <w:pPr>
        <w:spacing w:before="240" w:after="80"/>
      </w:pPr>
      <w:proofErr w:type="gramStart"/>
      <w:r>
        <w:rPr>
          <w:b/>
          <w:bCs/>
          <w:color w:val="0D7A6E"/>
          <w:sz w:val="26"/>
          <w:szCs w:val="26"/>
        </w:rPr>
        <w:t>1.1  Global</w:t>
      </w:r>
      <w:proofErr w:type="gramEnd"/>
      <w:r>
        <w:rPr>
          <w:b/>
          <w:bCs/>
          <w:color w:val="0D7A6E"/>
          <w:sz w:val="26"/>
          <w:szCs w:val="26"/>
        </w:rPr>
        <w:t xml:space="preserve"> Ride-Hailing Market</w:t>
      </w:r>
    </w:p>
    <w:p w14:paraId="156F6FEA" w14:textId="77777777" w:rsidR="00B72A6E" w:rsidRDefault="00000000">
      <w:pPr>
        <w:spacing w:before="60" w:after="60"/>
      </w:pPr>
      <w:r>
        <w:rPr>
          <w:b/>
          <w:bCs/>
        </w:rPr>
        <w:t xml:space="preserve">Global market size (2024): </w:t>
      </w:r>
      <w:r>
        <w:rPr>
          <w:color w:val="5A5A5A"/>
        </w:rPr>
        <w:t>~$150–163 billion in gross ride revenue</w:t>
      </w:r>
    </w:p>
    <w:p w14:paraId="6F2516BB" w14:textId="77777777" w:rsidR="00B72A6E" w:rsidRDefault="00000000">
      <w:pPr>
        <w:spacing w:before="60" w:after="60"/>
      </w:pPr>
      <w:r>
        <w:rPr>
          <w:b/>
          <w:bCs/>
        </w:rPr>
        <w:t xml:space="preserve">Projected CAGR (2025–2030): </w:t>
      </w:r>
      <w:r>
        <w:rPr>
          <w:color w:val="5A5A5A"/>
        </w:rPr>
        <w:t>8.8–14.4% depending on methodology (see analyst comparison, Section 5)</w:t>
      </w:r>
    </w:p>
    <w:p w14:paraId="7CE60302" w14:textId="77777777" w:rsidR="00B72A6E" w:rsidRDefault="00000000">
      <w:pPr>
        <w:spacing w:before="60" w:after="60"/>
      </w:pPr>
      <w:r>
        <w:rPr>
          <w:b/>
          <w:bCs/>
        </w:rPr>
        <w:t xml:space="preserve">Global trips: </w:t>
      </w:r>
      <w:r>
        <w:rPr>
          <w:color w:val="5A5A5A"/>
        </w:rPr>
        <w:t>~11.3 billion completed rides in 2024; 200M+ monthly active users globally</w:t>
      </w:r>
    </w:p>
    <w:p w14:paraId="1F0E6654" w14:textId="77777777" w:rsidR="00B72A6E" w:rsidRDefault="00B72A6E">
      <w:pPr>
        <w:spacing w:before="80" w:after="8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520"/>
        <w:gridCol w:w="1760"/>
        <w:gridCol w:w="1760"/>
      </w:tblGrid>
      <w:tr w:rsidR="00B72A6E" w14:paraId="1C3E74B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86F13" w14:textId="77777777" w:rsidR="00B72A6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Market Level</w:t>
            </w:r>
          </w:p>
        </w:tc>
        <w:tc>
          <w:tcPr>
            <w:tcW w:w="25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9D51D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2024/2025 Value</w:t>
            </w:r>
          </w:p>
        </w:tc>
        <w:tc>
          <w:tcPr>
            <w:tcW w:w="1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18FA2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CAGR</w:t>
            </w:r>
          </w:p>
        </w:tc>
        <w:tc>
          <w:tcPr>
            <w:tcW w:w="1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FE203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B72A6E" w14:paraId="43FC1E2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07257" w14:textId="77777777" w:rsidR="00B72A6E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Global Ride-Hailing Market</w:t>
            </w:r>
          </w:p>
        </w:tc>
        <w:tc>
          <w:tcPr>
            <w:tcW w:w="25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F2F9F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$150–163B</w:t>
            </w:r>
          </w:p>
        </w:tc>
        <w:tc>
          <w:tcPr>
            <w:tcW w:w="1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2D390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8.8–14.4%</w:t>
            </w:r>
          </w:p>
        </w:tc>
        <w:tc>
          <w:tcPr>
            <w:tcW w:w="1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AE4E6" w14:textId="77777777" w:rsidR="00B72A6E" w:rsidRDefault="00000000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Research &amp; Markets</w:t>
            </w:r>
          </w:p>
        </w:tc>
      </w:tr>
      <w:tr w:rsidR="00B72A6E" w14:paraId="554190B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C9D69" w14:textId="77777777" w:rsidR="00B72A6E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Middle East &amp; Africa (MEA) Region</w:t>
            </w:r>
          </w:p>
        </w:tc>
        <w:tc>
          <w:tcPr>
            <w:tcW w:w="25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F96F7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$3.83B (2024) / ~$16B (2025 alt.)</w:t>
            </w:r>
          </w:p>
        </w:tc>
        <w:tc>
          <w:tcPr>
            <w:tcW w:w="1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F690F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8.7–13.4%</w:t>
            </w:r>
          </w:p>
        </w:tc>
        <w:tc>
          <w:tcPr>
            <w:tcW w:w="1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E2A82" w14:textId="77777777" w:rsidR="00B72A6E" w:rsidRDefault="00000000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Cognitive / Astute</w:t>
            </w:r>
          </w:p>
        </w:tc>
      </w:tr>
      <w:tr w:rsidR="00B72A6E" w14:paraId="6A9F14B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8E3D7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lastRenderedPageBreak/>
              <w:t>Middle East (ex-Africa)</w:t>
            </w:r>
          </w:p>
        </w:tc>
        <w:tc>
          <w:tcPr>
            <w:tcW w:w="25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98D84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$4.29B (2023)</w:t>
            </w:r>
          </w:p>
        </w:tc>
        <w:tc>
          <w:tcPr>
            <w:tcW w:w="1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6D5B2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13.4%</w:t>
            </w:r>
          </w:p>
        </w:tc>
        <w:tc>
          <w:tcPr>
            <w:tcW w:w="1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0F836" w14:textId="77777777" w:rsidR="00B72A6E" w:rsidRDefault="00000000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Astute Analytica</w:t>
            </w:r>
          </w:p>
        </w:tc>
      </w:tr>
      <w:tr w:rsidR="00B72A6E" w14:paraId="729E8D8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9CBD9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GCC Countries (UAE, KSA, Qatar...)</w:t>
            </w:r>
          </w:p>
        </w:tc>
        <w:tc>
          <w:tcPr>
            <w:tcW w:w="25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E4634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$1.64B (2024)</w:t>
            </w:r>
          </w:p>
        </w:tc>
        <w:tc>
          <w:tcPr>
            <w:tcW w:w="1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83B31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9.5%</w:t>
            </w:r>
          </w:p>
        </w:tc>
        <w:tc>
          <w:tcPr>
            <w:tcW w:w="1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39BD8" w14:textId="77777777" w:rsidR="00B72A6E" w:rsidRDefault="00000000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Cognitive Market Research</w:t>
            </w:r>
          </w:p>
        </w:tc>
      </w:tr>
      <w:tr w:rsidR="00B72A6E" w14:paraId="68A33E9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848A3" w14:textId="77777777" w:rsidR="00B72A6E" w:rsidRDefault="00000000">
            <w:pPr>
              <w:spacing w:before="60" w:after="60"/>
            </w:pPr>
            <w:r>
              <w:rPr>
                <w:b/>
                <w:bCs/>
                <w:color w:val="1B3A5C"/>
                <w:sz w:val="18"/>
                <w:szCs w:val="18"/>
              </w:rPr>
              <w:t>Non-GCC MENA (Jordan + Iraq + Egypt + others)</w:t>
            </w:r>
          </w:p>
        </w:tc>
        <w:tc>
          <w:tcPr>
            <w:tcW w:w="25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771E7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~$2.19B (2024, derived)</w:t>
            </w:r>
          </w:p>
        </w:tc>
        <w:tc>
          <w:tcPr>
            <w:tcW w:w="1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978D8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10–12%</w:t>
            </w:r>
          </w:p>
        </w:tc>
        <w:tc>
          <w:tcPr>
            <w:tcW w:w="1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DCCB7" w14:textId="77777777" w:rsidR="00B72A6E" w:rsidRDefault="00000000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Derived</w:t>
            </w:r>
          </w:p>
        </w:tc>
      </w:tr>
      <w:tr w:rsidR="00B72A6E" w14:paraId="7803888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0D7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49326" w14:textId="77777777" w:rsidR="00B72A6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Jordan + Iraq + Egypt (Wasel TAM)</w:t>
            </w:r>
          </w:p>
        </w:tc>
        <w:tc>
          <w:tcPr>
            <w:tcW w:w="25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0D7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DFB6A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~$2.15B (2025 est.)</w:t>
            </w:r>
          </w:p>
        </w:tc>
        <w:tc>
          <w:tcPr>
            <w:tcW w:w="1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0D7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2C67B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9–14%</w:t>
            </w:r>
          </w:p>
        </w:tc>
        <w:tc>
          <w:tcPr>
            <w:tcW w:w="1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0D7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546A3" w14:textId="77777777" w:rsidR="00B72A6E" w:rsidRDefault="00000000">
            <w:pPr>
              <w:spacing w:before="60" w:after="60"/>
            </w:pPr>
            <w:r>
              <w:rPr>
                <w:i/>
                <w:iCs/>
                <w:color w:val="FFFFFF"/>
                <w:sz w:val="18"/>
                <w:szCs w:val="18"/>
              </w:rPr>
              <w:t>Multi-source</w:t>
            </w:r>
          </w:p>
        </w:tc>
      </w:tr>
    </w:tbl>
    <w:p w14:paraId="3A9A3894" w14:textId="77777777" w:rsidR="00B72A6E" w:rsidRDefault="00B72A6E">
      <w:pPr>
        <w:spacing w:before="80" w:after="80"/>
      </w:pPr>
    </w:p>
    <w:p w14:paraId="497957D0" w14:textId="77777777" w:rsidR="00B72A6E" w:rsidRDefault="00000000">
      <w:pPr>
        <w:spacing w:before="60" w:after="60"/>
      </w:pPr>
      <w:r>
        <w:rPr>
          <w:color w:val="5A5A5A"/>
          <w:sz w:val="17"/>
          <w:szCs w:val="17"/>
        </w:rPr>
        <w:t>Note: Global and MEA estimates include GCC premium markets. Wasel deliberately targets non-GCC markets where commission pain is sharpest. The $2.15B figure reflects gross ride-hailing GTV (Gross Transaction Value) across Jordan, Iraq, and Egypt — the market Wasel serves, not what Wasel collects.</w:t>
      </w:r>
    </w:p>
    <w:p w14:paraId="4F2A9C6E" w14:textId="77777777" w:rsidR="00B72A6E" w:rsidRDefault="00B72A6E">
      <w:pPr>
        <w:spacing w:before="160" w:after="160"/>
      </w:pPr>
    </w:p>
    <w:p w14:paraId="30C007F2" w14:textId="77777777" w:rsidR="00B72A6E" w:rsidRDefault="00000000">
      <w:pPr>
        <w:spacing w:before="240" w:after="80"/>
      </w:pPr>
      <w:proofErr w:type="gramStart"/>
      <w:r>
        <w:rPr>
          <w:b/>
          <w:bCs/>
          <w:color w:val="0D7A6E"/>
          <w:sz w:val="26"/>
          <w:szCs w:val="26"/>
        </w:rPr>
        <w:t>1.2  Country</w:t>
      </w:r>
      <w:proofErr w:type="gramEnd"/>
      <w:r>
        <w:rPr>
          <w:b/>
          <w:bCs/>
          <w:color w:val="0D7A6E"/>
          <w:sz w:val="26"/>
          <w:szCs w:val="26"/>
        </w:rPr>
        <w:t>-Level TAM (Gross Market)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1760"/>
        <w:gridCol w:w="1640"/>
        <w:gridCol w:w="1840"/>
      </w:tblGrid>
      <w:tr w:rsidR="00B72A6E" w14:paraId="283331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D9C8A" w14:textId="77777777" w:rsidR="00B72A6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Country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B3ADE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Market Size (GTV)</w:t>
            </w:r>
          </w:p>
        </w:tc>
        <w:tc>
          <w:tcPr>
            <w:tcW w:w="1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E1D3A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CAGR</w:t>
            </w:r>
          </w:p>
        </w:tc>
        <w:tc>
          <w:tcPr>
            <w:tcW w:w="164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43E52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By 2029/30</w:t>
            </w:r>
          </w:p>
        </w:tc>
        <w:tc>
          <w:tcPr>
            <w:tcW w:w="184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79A31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Primary Source</w:t>
            </w:r>
          </w:p>
        </w:tc>
      </w:tr>
      <w:tr w:rsidR="00B72A6E" w14:paraId="384CA0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A63CF" w14:textId="77777777" w:rsidR="00B72A6E" w:rsidRDefault="00000000">
            <w:pPr>
              <w:spacing w:before="60" w:after="60"/>
            </w:pPr>
            <w:r>
              <w:rPr>
                <w:b/>
                <w:bCs/>
                <w:color w:val="1B3A5C"/>
                <w:sz w:val="18"/>
                <w:szCs w:val="18"/>
              </w:rPr>
              <w:t>Jordan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3C9F9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~$60–75M (2025)</w:t>
            </w:r>
          </w:p>
        </w:tc>
        <w:tc>
          <w:tcPr>
            <w:tcW w:w="1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84421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5.2%</w:t>
            </w:r>
          </w:p>
        </w:tc>
        <w:tc>
          <w:tcPr>
            <w:tcW w:w="164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A6455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$75M (2029)</w:t>
            </w:r>
          </w:p>
        </w:tc>
        <w:tc>
          <w:tcPr>
            <w:tcW w:w="184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7C926" w14:textId="77777777" w:rsidR="00B72A6E" w:rsidRDefault="00000000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Statista</w:t>
            </w:r>
          </w:p>
        </w:tc>
      </w:tr>
      <w:tr w:rsidR="00B72A6E" w14:paraId="74A698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46053" w14:textId="77777777" w:rsidR="00B72A6E" w:rsidRDefault="00000000">
            <w:pPr>
              <w:spacing w:before="60" w:after="60"/>
            </w:pPr>
            <w:r>
              <w:rPr>
                <w:b/>
                <w:bCs/>
                <w:color w:val="1B3A5C"/>
                <w:sz w:val="18"/>
                <w:szCs w:val="18"/>
              </w:rPr>
              <w:t>Iraq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0365B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~$115M (2025)</w:t>
            </w:r>
          </w:p>
        </w:tc>
        <w:tc>
          <w:tcPr>
            <w:tcW w:w="1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2119B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5.1%</w:t>
            </w:r>
          </w:p>
        </w:tc>
        <w:tc>
          <w:tcPr>
            <w:tcW w:w="164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A4B43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$143M (2029)</w:t>
            </w:r>
          </w:p>
        </w:tc>
        <w:tc>
          <w:tcPr>
            <w:tcW w:w="184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62F05" w14:textId="77777777" w:rsidR="00B72A6E" w:rsidRDefault="00000000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Statista</w:t>
            </w:r>
          </w:p>
        </w:tc>
      </w:tr>
      <w:tr w:rsidR="00B72A6E" w14:paraId="23F9D3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67CB7" w14:textId="77777777" w:rsidR="00B72A6E" w:rsidRDefault="00000000">
            <w:pPr>
              <w:spacing w:before="60" w:after="60"/>
            </w:pPr>
            <w:r>
              <w:rPr>
                <w:b/>
                <w:bCs/>
                <w:color w:val="1B3A5C"/>
                <w:sz w:val="18"/>
                <w:szCs w:val="18"/>
              </w:rPr>
              <w:t>Egypt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B5B9C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$1.84B (2024) – all services; ~$309–402M e-hailing only</w:t>
            </w:r>
          </w:p>
        </w:tc>
        <w:tc>
          <w:tcPr>
            <w:tcW w:w="1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6556D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11.4% (Grand View)</w:t>
            </w:r>
          </w:p>
        </w:tc>
        <w:tc>
          <w:tcPr>
            <w:tcW w:w="164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803B3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$3.61B (2030)</w:t>
            </w:r>
          </w:p>
        </w:tc>
        <w:tc>
          <w:tcPr>
            <w:tcW w:w="184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2C058" w14:textId="77777777" w:rsidR="00B72A6E" w:rsidRDefault="00000000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Grand View Research</w:t>
            </w:r>
          </w:p>
        </w:tc>
      </w:tr>
      <w:tr w:rsidR="00B72A6E" w14:paraId="7A1B01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0D7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FCB51" w14:textId="77777777" w:rsidR="00B72A6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COMBINED (3-Market Total)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0D7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7C568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~$2.15B</w:t>
            </w:r>
          </w:p>
        </w:tc>
        <w:tc>
          <w:tcPr>
            <w:tcW w:w="1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0D7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CFE98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9–14%</w:t>
            </w:r>
          </w:p>
        </w:tc>
        <w:tc>
          <w:tcPr>
            <w:tcW w:w="164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0D7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008ED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~$4.0B+</w:t>
            </w:r>
          </w:p>
        </w:tc>
        <w:tc>
          <w:tcPr>
            <w:tcW w:w="184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0D7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341AB" w14:textId="77777777" w:rsidR="00B72A6E" w:rsidRDefault="00000000">
            <w:pPr>
              <w:spacing w:before="60" w:after="60"/>
            </w:pPr>
            <w:r>
              <w:rPr>
                <w:i/>
                <w:iCs/>
                <w:color w:val="FFFFFF"/>
                <w:sz w:val="18"/>
                <w:szCs w:val="18"/>
              </w:rPr>
              <w:t>Multi-source</w:t>
            </w:r>
          </w:p>
        </w:tc>
      </w:tr>
    </w:tbl>
    <w:p w14:paraId="790B128A" w14:textId="77777777" w:rsidR="00B72A6E" w:rsidRDefault="00B72A6E">
      <w:pPr>
        <w:spacing w:before="80" w:after="80"/>
      </w:pPr>
    </w:p>
    <w:p w14:paraId="38D33DBB" w14:textId="77777777" w:rsidR="00B72A6E" w:rsidRDefault="00000000">
      <w:pPr>
        <w:spacing w:before="60" w:after="60"/>
      </w:pPr>
      <w:proofErr w:type="gramStart"/>
      <w:r>
        <w:rPr>
          <w:color w:val="5A5A5A"/>
          <w:sz w:val="17"/>
          <w:szCs w:val="17"/>
        </w:rPr>
        <w:t>Key Note</w:t>
      </w:r>
      <w:proofErr w:type="gramEnd"/>
      <w:r>
        <w:rPr>
          <w:color w:val="5A5A5A"/>
          <w:sz w:val="17"/>
          <w:szCs w:val="17"/>
        </w:rPr>
        <w:t xml:space="preserve"> on Egypt Variance: Estimates range from $309M (Statista, e-hailing only) to $1.84B (Grand View, includes car sharing + rental). For conservative modeling, Wasel uses $400–500M as the addressable e-hailing sub-segment for Egypt in Year 3.</w:t>
      </w:r>
    </w:p>
    <w:p w14:paraId="1AF403AE" w14:textId="77777777" w:rsidR="00B72A6E" w:rsidRDefault="00B72A6E">
      <w:pPr>
        <w:spacing w:before="200" w:after="200"/>
      </w:pPr>
    </w:p>
    <w:p w14:paraId="1E3DEE66" w14:textId="77777777" w:rsidR="00B72A6E" w:rsidRDefault="00B72A6E">
      <w:pPr>
        <w:pBdr>
          <w:bottom w:val="single" w:sz="8" w:space="1" w:color="0D7A6E"/>
        </w:pBdr>
        <w:spacing w:before="160" w:after="160"/>
      </w:pPr>
    </w:p>
    <w:p w14:paraId="48EF7DC5" w14:textId="77777777" w:rsidR="00B72A6E" w:rsidRDefault="00000000">
      <w:pPr>
        <w:spacing w:before="320" w:after="120"/>
      </w:pPr>
      <w:r>
        <w:rPr>
          <w:b/>
          <w:bCs/>
          <w:color w:val="1B3A5C"/>
          <w:sz w:val="34"/>
          <w:szCs w:val="34"/>
        </w:rPr>
        <w:t>SECTION 2 — BOTTOM-UP ANALYSIS: UNIT ECONOMICS × DRIVER POPULATION</w:t>
      </w:r>
    </w:p>
    <w:p w14:paraId="26B8C9AE" w14:textId="77777777" w:rsidR="00B72A6E" w:rsidRDefault="00B72A6E">
      <w:pPr>
        <w:pBdr>
          <w:bottom w:val="single" w:sz="8" w:space="1" w:color="0D7A6E"/>
        </w:pBdr>
        <w:spacing w:before="160" w:after="160"/>
      </w:pPr>
    </w:p>
    <w:p w14:paraId="1A1DED42" w14:textId="77777777" w:rsidR="00B72A6E" w:rsidRDefault="00000000">
      <w:pPr>
        <w:spacing w:before="60" w:after="60"/>
      </w:pPr>
      <w:r>
        <w:rPr>
          <w:color w:val="5A5A5A"/>
        </w:rPr>
        <w:t>Wasel’s revenue comes exclusively from driver subscriptions, not fare percentages. This fundamentally changes the TAM calculation: Wasel’s addressable market is the pool of ride-hailing drivers × the subscription fee they pay, not the gross value of rides completed.</w:t>
      </w:r>
    </w:p>
    <w:p w14:paraId="0923B6AD" w14:textId="77777777" w:rsidR="00B72A6E" w:rsidRDefault="00B72A6E">
      <w:pPr>
        <w:spacing w:before="80" w:after="80"/>
      </w:pPr>
    </w:p>
    <w:p w14:paraId="3A23B914" w14:textId="77777777" w:rsidR="00B72A6E" w:rsidRDefault="00000000">
      <w:pPr>
        <w:spacing w:before="240" w:after="80"/>
      </w:pPr>
      <w:proofErr w:type="gramStart"/>
      <w:r>
        <w:rPr>
          <w:b/>
          <w:bCs/>
          <w:color w:val="0D7A6E"/>
          <w:sz w:val="26"/>
          <w:szCs w:val="26"/>
        </w:rPr>
        <w:t>2.1  Driver</w:t>
      </w:r>
      <w:proofErr w:type="gramEnd"/>
      <w:r>
        <w:rPr>
          <w:b/>
          <w:bCs/>
          <w:color w:val="0D7A6E"/>
          <w:sz w:val="26"/>
          <w:szCs w:val="26"/>
        </w:rPr>
        <w:t xml:space="preserve"> Population Estimates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000"/>
        <w:gridCol w:w="1720"/>
        <w:gridCol w:w="1720"/>
      </w:tblGrid>
      <w:tr w:rsidR="00B72A6E" w14:paraId="416683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010E1" w14:textId="77777777" w:rsidR="00B72A6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Market</w:t>
            </w:r>
          </w:p>
        </w:tc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44EB2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Licensed App Drivers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BDD07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Informal / Unlicensed Est.</w:t>
            </w:r>
          </w:p>
        </w:tc>
        <w:tc>
          <w:tcPr>
            <w:tcW w:w="17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B31A1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Wasel Addressable</w:t>
            </w:r>
          </w:p>
        </w:tc>
        <w:tc>
          <w:tcPr>
            <w:tcW w:w="17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BD066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 / Basis</w:t>
            </w:r>
          </w:p>
        </w:tc>
      </w:tr>
      <w:tr w:rsidR="00B72A6E" w14:paraId="11F32E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11E9A" w14:textId="77777777" w:rsidR="00B72A6E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lastRenderedPageBreak/>
              <w:t>Jordan (all cities)</w:t>
            </w:r>
          </w:p>
        </w:tc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FA8C7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11,600 (LTRC official) Uber &amp; Careem: 6,000 each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AA1EC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50,000+ (Parliamentary estimate)</w:t>
            </w:r>
          </w:p>
        </w:tc>
        <w:tc>
          <w:tcPr>
            <w:tcW w:w="17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2CD73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sz w:val="18"/>
                <w:szCs w:val="18"/>
              </w:rPr>
              <w:t>20,000–25,000</w:t>
            </w:r>
          </w:p>
        </w:tc>
        <w:tc>
          <w:tcPr>
            <w:tcW w:w="17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09223" w14:textId="77777777" w:rsidR="00B72A6E" w:rsidRDefault="00000000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ARIJ / LTRC (2025)</w:t>
            </w:r>
          </w:p>
        </w:tc>
      </w:tr>
      <w:tr w:rsidR="00B72A6E" w14:paraId="63DF61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E9DCA" w14:textId="77777777" w:rsidR="00B72A6E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Iraq (Baghdad, Erbil, Basra, Najaf)</w:t>
            </w:r>
          </w:p>
        </w:tc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82E36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Careem: 4 cities; Uber: major cities Est. 15,000–20,000 formal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1DA08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Large informal sector; 80,000+ taxi-type workers</w:t>
            </w:r>
          </w:p>
        </w:tc>
        <w:tc>
          <w:tcPr>
            <w:tcW w:w="17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64DE1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sz w:val="18"/>
                <w:szCs w:val="18"/>
              </w:rPr>
              <w:t>35,000–50,000</w:t>
            </w:r>
          </w:p>
        </w:tc>
        <w:tc>
          <w:tcPr>
            <w:tcW w:w="17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69CF0" w14:textId="77777777" w:rsidR="00B72A6E" w:rsidRDefault="00000000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Careem Iraq (2024) + author est.</w:t>
            </w:r>
          </w:p>
        </w:tc>
      </w:tr>
      <w:tr w:rsidR="00B72A6E" w14:paraId="095DB5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5F64B" w14:textId="77777777" w:rsidR="00B72A6E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Egypt (Cairo, Alexandria, Giza)</w:t>
            </w:r>
          </w:p>
        </w:tc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6522B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Uber, Careem, Halan, </w:t>
            </w:r>
            <w:proofErr w:type="spellStart"/>
            <w:r>
              <w:rPr>
                <w:sz w:val="18"/>
                <w:szCs w:val="18"/>
              </w:rPr>
              <w:t>InDrive</w:t>
            </w:r>
            <w:proofErr w:type="spellEnd"/>
            <w:r>
              <w:rPr>
                <w:sz w:val="18"/>
                <w:szCs w:val="18"/>
              </w:rPr>
              <w:t>, Bolt Est. 150,000–250,000 active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B1AEF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Millions of informal workers; massive city of 21M+</w:t>
            </w:r>
          </w:p>
        </w:tc>
        <w:tc>
          <w:tcPr>
            <w:tcW w:w="17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4F818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sz w:val="18"/>
                <w:szCs w:val="18"/>
              </w:rPr>
              <w:t>150,000–200,000</w:t>
            </w:r>
          </w:p>
        </w:tc>
        <w:tc>
          <w:tcPr>
            <w:tcW w:w="17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EB68A" w14:textId="77777777" w:rsidR="00B72A6E" w:rsidRDefault="00000000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Grand View / author est.</w:t>
            </w:r>
          </w:p>
        </w:tc>
      </w:tr>
    </w:tbl>
    <w:p w14:paraId="6B10B7F8" w14:textId="77777777" w:rsidR="00B72A6E" w:rsidRDefault="00B72A6E">
      <w:pPr>
        <w:spacing w:before="160" w:after="160"/>
      </w:pPr>
    </w:p>
    <w:p w14:paraId="7B6E8F6A" w14:textId="77777777" w:rsidR="00B72A6E" w:rsidRDefault="00000000">
      <w:pPr>
        <w:spacing w:before="240" w:after="80"/>
      </w:pPr>
      <w:proofErr w:type="gramStart"/>
      <w:r>
        <w:rPr>
          <w:b/>
          <w:bCs/>
          <w:color w:val="0D7A6E"/>
          <w:sz w:val="26"/>
          <w:szCs w:val="26"/>
        </w:rPr>
        <w:t>2.2  Subscription</w:t>
      </w:r>
      <w:proofErr w:type="gramEnd"/>
      <w:r>
        <w:rPr>
          <w:b/>
          <w:bCs/>
          <w:color w:val="0D7A6E"/>
          <w:sz w:val="26"/>
          <w:szCs w:val="26"/>
        </w:rPr>
        <w:t xml:space="preserve"> Revenue TAM (Bottom-Up)</w:t>
      </w:r>
    </w:p>
    <w:p w14:paraId="5B80CC1E" w14:textId="77777777" w:rsidR="00B72A6E" w:rsidRDefault="00000000">
      <w:pPr>
        <w:spacing w:before="60" w:after="60"/>
      </w:pPr>
      <w:r>
        <w:rPr>
          <w:color w:val="5A5A5A"/>
        </w:rPr>
        <w:t>Wasel’s blended subscription rate is JD 32/month in Jordan (average of Starter/Core/Pro mix, assuming 40%/40%/20% distribution). Price points are adjusted downward for Iraq and Egypt given lower per-capita incomes.</w:t>
      </w:r>
    </w:p>
    <w:p w14:paraId="7723896A" w14:textId="77777777" w:rsidR="00B72A6E" w:rsidRDefault="00B72A6E">
      <w:pPr>
        <w:spacing w:before="80" w:after="8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760"/>
        <w:gridCol w:w="1760"/>
        <w:gridCol w:w="1760"/>
        <w:gridCol w:w="2560"/>
      </w:tblGrid>
      <w:tr w:rsidR="00B72A6E" w14:paraId="11B609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BA4A4" w14:textId="77777777" w:rsidR="00B72A6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Market</w:t>
            </w:r>
          </w:p>
        </w:tc>
        <w:tc>
          <w:tcPr>
            <w:tcW w:w="1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7E818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Addressable Drivers</w:t>
            </w:r>
          </w:p>
        </w:tc>
        <w:tc>
          <w:tcPr>
            <w:tcW w:w="1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FA340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Avg. Monthly Sub.</w:t>
            </w:r>
          </w:p>
        </w:tc>
        <w:tc>
          <w:tcPr>
            <w:tcW w:w="1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6D9D7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Annual Sub. TAM</w:t>
            </w:r>
          </w:p>
        </w:tc>
        <w:tc>
          <w:tcPr>
            <w:tcW w:w="2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FF63C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Assumptions</w:t>
            </w:r>
          </w:p>
        </w:tc>
      </w:tr>
      <w:tr w:rsidR="00B72A6E" w14:paraId="13E559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ECC73" w14:textId="77777777" w:rsidR="00B72A6E" w:rsidRDefault="00000000">
            <w:pPr>
              <w:spacing w:before="60" w:after="60"/>
            </w:pPr>
            <w:r>
              <w:rPr>
                <w:b/>
                <w:bCs/>
                <w:color w:val="1B3A5C"/>
                <w:sz w:val="18"/>
                <w:szCs w:val="18"/>
              </w:rPr>
              <w:t>Jordan</w:t>
            </w:r>
          </w:p>
        </w:tc>
        <w:tc>
          <w:tcPr>
            <w:tcW w:w="1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62194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22,000</w:t>
            </w:r>
          </w:p>
        </w:tc>
        <w:tc>
          <w:tcPr>
            <w:tcW w:w="1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327BF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JD 32 (~$45)</w:t>
            </w:r>
          </w:p>
        </w:tc>
        <w:tc>
          <w:tcPr>
            <w:tcW w:w="1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8A353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7A6E"/>
                <w:sz w:val="18"/>
                <w:szCs w:val="18"/>
              </w:rPr>
              <w:t>$11.9M</w:t>
            </w:r>
          </w:p>
        </w:tc>
        <w:tc>
          <w:tcPr>
            <w:tcW w:w="2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E984A" w14:textId="77777777" w:rsidR="00B72A6E" w:rsidRDefault="00000000">
            <w:pPr>
              <w:spacing w:before="60" w:after="60"/>
            </w:pPr>
            <w:r>
              <w:rPr>
                <w:sz w:val="17"/>
                <w:szCs w:val="17"/>
              </w:rPr>
              <w:t>Mid of official 11,600 + partial informal; blended JD 32 per Wasel model</w:t>
            </w:r>
          </w:p>
        </w:tc>
      </w:tr>
      <w:tr w:rsidR="00B72A6E" w14:paraId="19D07A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FFE5F" w14:textId="77777777" w:rsidR="00B72A6E" w:rsidRDefault="00000000">
            <w:pPr>
              <w:spacing w:before="60" w:after="60"/>
            </w:pPr>
            <w:r>
              <w:rPr>
                <w:b/>
                <w:bCs/>
                <w:color w:val="1B3A5C"/>
                <w:sz w:val="18"/>
                <w:szCs w:val="18"/>
              </w:rPr>
              <w:t>Iraq</w:t>
            </w:r>
          </w:p>
        </w:tc>
        <w:tc>
          <w:tcPr>
            <w:tcW w:w="1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E7F7E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42,000</w:t>
            </w:r>
          </w:p>
        </w:tc>
        <w:tc>
          <w:tcPr>
            <w:tcW w:w="1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DDDB6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~$30</w:t>
            </w:r>
          </w:p>
        </w:tc>
        <w:tc>
          <w:tcPr>
            <w:tcW w:w="1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F8042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7A6E"/>
                <w:sz w:val="18"/>
                <w:szCs w:val="18"/>
              </w:rPr>
              <w:t>$15.1M</w:t>
            </w:r>
          </w:p>
        </w:tc>
        <w:tc>
          <w:tcPr>
            <w:tcW w:w="2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84875" w14:textId="77777777" w:rsidR="00B72A6E" w:rsidRDefault="00000000">
            <w:pPr>
              <w:spacing w:before="60" w:after="60"/>
            </w:pPr>
            <w:r>
              <w:rPr>
                <w:sz w:val="17"/>
                <w:szCs w:val="17"/>
              </w:rPr>
              <w:t>Conservative; Iraq GDP/capita ~$5,500; price set at 65% of Jordan tier</w:t>
            </w:r>
          </w:p>
        </w:tc>
      </w:tr>
      <w:tr w:rsidR="00B72A6E" w14:paraId="42E2A9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E1F71" w14:textId="77777777" w:rsidR="00B72A6E" w:rsidRDefault="00000000">
            <w:pPr>
              <w:spacing w:before="60" w:after="60"/>
            </w:pPr>
            <w:r>
              <w:rPr>
                <w:b/>
                <w:bCs/>
                <w:color w:val="1B3A5C"/>
                <w:sz w:val="18"/>
                <w:szCs w:val="18"/>
              </w:rPr>
              <w:t>Egypt</w:t>
            </w:r>
          </w:p>
        </w:tc>
        <w:tc>
          <w:tcPr>
            <w:tcW w:w="1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93579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170,000</w:t>
            </w:r>
          </w:p>
        </w:tc>
        <w:tc>
          <w:tcPr>
            <w:tcW w:w="1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553BA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~$25</w:t>
            </w:r>
          </w:p>
        </w:tc>
        <w:tc>
          <w:tcPr>
            <w:tcW w:w="1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9C835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7A6E"/>
                <w:sz w:val="18"/>
                <w:szCs w:val="18"/>
              </w:rPr>
              <w:t>$51.0M</w:t>
            </w:r>
          </w:p>
        </w:tc>
        <w:tc>
          <w:tcPr>
            <w:tcW w:w="2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27796" w14:textId="77777777" w:rsidR="00B72A6E" w:rsidRDefault="00000000">
            <w:pPr>
              <w:spacing w:before="60" w:after="60"/>
            </w:pPr>
            <w:r>
              <w:rPr>
                <w:sz w:val="17"/>
                <w:szCs w:val="17"/>
              </w:rPr>
              <w:t>Egypt GDP/capita ~$3,500; massive informal sector; conservative penetration</w:t>
            </w:r>
          </w:p>
        </w:tc>
      </w:tr>
      <w:tr w:rsidR="00B72A6E" w14:paraId="3D048D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27429" w14:textId="77777777" w:rsidR="00B72A6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TOTAL SUBSCRIPTION TAM</w:t>
            </w:r>
          </w:p>
        </w:tc>
        <w:tc>
          <w:tcPr>
            <w:tcW w:w="1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F073C" w14:textId="77777777" w:rsidR="00B72A6E" w:rsidRDefault="00000000">
            <w:pPr>
              <w:spacing w:before="60" w:after="60"/>
              <w:jc w:val="center"/>
            </w:pPr>
            <w:r>
              <w:rPr>
                <w:color w:val="FFFFFF"/>
                <w:sz w:val="18"/>
                <w:szCs w:val="18"/>
              </w:rPr>
              <w:t>234,000 drivers</w:t>
            </w:r>
          </w:p>
        </w:tc>
        <w:tc>
          <w:tcPr>
            <w:tcW w:w="1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5676E" w14:textId="77777777" w:rsidR="00B72A6E" w:rsidRDefault="00000000">
            <w:pPr>
              <w:spacing w:before="60" w:after="60"/>
              <w:jc w:val="center"/>
            </w:pPr>
            <w:r>
              <w:rPr>
                <w:color w:val="FFFFFF"/>
                <w:sz w:val="18"/>
                <w:szCs w:val="18"/>
              </w:rPr>
              <w:t>—</w:t>
            </w:r>
          </w:p>
        </w:tc>
        <w:tc>
          <w:tcPr>
            <w:tcW w:w="1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DD09D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$78.0M / yr</w:t>
            </w:r>
          </w:p>
        </w:tc>
        <w:tc>
          <w:tcPr>
            <w:tcW w:w="2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8CEDB" w14:textId="77777777" w:rsidR="00B72A6E" w:rsidRDefault="00000000">
            <w:pPr>
              <w:spacing w:before="60" w:after="60"/>
            </w:pPr>
            <w:r>
              <w:rPr>
                <w:color w:val="AACCFF"/>
                <w:sz w:val="17"/>
                <w:szCs w:val="17"/>
              </w:rPr>
              <w:t>Subscriptions only; excludes Year 2+ ancillary streams</w:t>
            </w:r>
          </w:p>
        </w:tc>
      </w:tr>
    </w:tbl>
    <w:p w14:paraId="72BF4263" w14:textId="77777777" w:rsidR="00B72A6E" w:rsidRDefault="00B72A6E">
      <w:pPr>
        <w:spacing w:before="80" w:after="80"/>
      </w:pPr>
    </w:p>
    <w:p w14:paraId="2E62B3EC" w14:textId="77777777" w:rsidR="00B72A6E" w:rsidRDefault="00000000">
      <w:pPr>
        <w:spacing w:before="60" w:after="60"/>
      </w:pPr>
      <w:r>
        <w:rPr>
          <w:color w:val="5A5A5A"/>
          <w:sz w:val="18"/>
          <w:szCs w:val="18"/>
        </w:rPr>
        <w:t>With ancillary revenue (Year 2+: insurance brokerage, B2B corporate accounts, data licensing, in-app ads, fleet management), the total economic opportunity multiplies by ~1.4–1.6×, placing the full Wasel platform TAM at $105–125M across all three markets at scale.</w:t>
      </w:r>
    </w:p>
    <w:p w14:paraId="1B9D240D" w14:textId="77777777" w:rsidR="00B72A6E" w:rsidRDefault="00B72A6E">
      <w:pPr>
        <w:spacing w:before="200" w:after="200"/>
      </w:pPr>
    </w:p>
    <w:p w14:paraId="767CCCDA" w14:textId="77777777" w:rsidR="00B72A6E" w:rsidRDefault="00B72A6E">
      <w:pPr>
        <w:pBdr>
          <w:bottom w:val="single" w:sz="8" w:space="1" w:color="0D7A6E"/>
        </w:pBdr>
        <w:spacing w:before="160" w:after="160"/>
      </w:pPr>
    </w:p>
    <w:p w14:paraId="2CCBC800" w14:textId="77777777" w:rsidR="00B72A6E" w:rsidRDefault="00000000">
      <w:pPr>
        <w:spacing w:before="320" w:after="120"/>
      </w:pPr>
      <w:r>
        <w:rPr>
          <w:b/>
          <w:bCs/>
          <w:color w:val="1B3A5C"/>
          <w:sz w:val="34"/>
          <w:szCs w:val="34"/>
        </w:rPr>
        <w:t>SECTION 3 — TAM / SAM / SOM BREAKDOWN</w:t>
      </w:r>
    </w:p>
    <w:p w14:paraId="20C464C5" w14:textId="77777777" w:rsidR="00B72A6E" w:rsidRDefault="00B72A6E">
      <w:pPr>
        <w:pBdr>
          <w:bottom w:val="single" w:sz="8" w:space="1" w:color="0D7A6E"/>
        </w:pBdr>
        <w:spacing w:before="160" w:after="16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960"/>
        <w:gridCol w:w="2320"/>
        <w:gridCol w:w="2320"/>
        <w:gridCol w:w="2040"/>
      </w:tblGrid>
      <w:tr w:rsidR="00B72A6E" w14:paraId="45C22A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A98F5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1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ABC1C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  <w:tc>
          <w:tcPr>
            <w:tcW w:w="23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F2E21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Dollar Figure</w:t>
            </w:r>
          </w:p>
        </w:tc>
        <w:tc>
          <w:tcPr>
            <w:tcW w:w="23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9650E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It Represents</w:t>
            </w:r>
          </w:p>
        </w:tc>
        <w:tc>
          <w:tcPr>
            <w:tcW w:w="204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6A55A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Basis</w:t>
            </w:r>
          </w:p>
        </w:tc>
      </w:tr>
      <w:tr w:rsidR="00B72A6E" w14:paraId="2A7B98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E16E1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TAM</w:t>
            </w:r>
          </w:p>
        </w:tc>
        <w:tc>
          <w:tcPr>
            <w:tcW w:w="1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08B16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Total Addressable Market — everyone </w:t>
            </w:r>
            <w:r>
              <w:rPr>
                <w:sz w:val="18"/>
                <w:szCs w:val="18"/>
              </w:rPr>
              <w:lastRenderedPageBreak/>
              <w:t>who could theoretically use Wasel</w:t>
            </w:r>
          </w:p>
        </w:tc>
        <w:tc>
          <w:tcPr>
            <w:tcW w:w="23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47A32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lastRenderedPageBreak/>
              <w:t>$2.15B (gross GTV) $78M (subscriptions)</w:t>
            </w:r>
          </w:p>
        </w:tc>
        <w:tc>
          <w:tcPr>
            <w:tcW w:w="23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0BAA3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All ride-hailing drivers + riders in Jordan, Iraq, </w:t>
            </w:r>
            <w:r>
              <w:rPr>
                <w:sz w:val="18"/>
                <w:szCs w:val="18"/>
              </w:rPr>
              <w:lastRenderedPageBreak/>
              <w:t>Egypt. The $78M is Wasel’s revenue-layer TAM.</w:t>
            </w:r>
          </w:p>
        </w:tc>
        <w:tc>
          <w:tcPr>
            <w:tcW w:w="204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4DD53" w14:textId="77777777" w:rsidR="00B72A6E" w:rsidRDefault="00000000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lastRenderedPageBreak/>
              <w:t xml:space="preserve">Top-down (Statista, Grand View) + </w:t>
            </w:r>
            <w:r>
              <w:rPr>
                <w:i/>
                <w:iCs/>
                <w:sz w:val="18"/>
                <w:szCs w:val="18"/>
              </w:rPr>
              <w:lastRenderedPageBreak/>
              <w:t>bottom-up unit economics</w:t>
            </w:r>
          </w:p>
        </w:tc>
      </w:tr>
      <w:tr w:rsidR="00B72A6E" w14:paraId="1D1ECE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0D7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1E2A2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SAM</w:t>
            </w:r>
          </w:p>
        </w:tc>
        <w:tc>
          <w:tcPr>
            <w:tcW w:w="1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0446F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Serviceable Addressable Market — drivers in cities Wasel will operate in</w:t>
            </w:r>
          </w:p>
        </w:tc>
        <w:tc>
          <w:tcPr>
            <w:tcW w:w="23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E1929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7A6E"/>
                <w:sz w:val="18"/>
                <w:szCs w:val="18"/>
              </w:rPr>
              <w:t>$1.2B (gross GTV) $48M (subscriptions)</w:t>
            </w:r>
          </w:p>
        </w:tc>
        <w:tc>
          <w:tcPr>
            <w:tcW w:w="23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814A3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Amman, Irbid, Zarqa, Aqaba (Jordan) + Baghdad, Erbil, Basra (Iraq, Yr 3) + Cairo, Alexandria, Giza (Egypt, Yr 3–5). ~75–85% of each country market.</w:t>
            </w:r>
          </w:p>
        </w:tc>
        <w:tc>
          <w:tcPr>
            <w:tcW w:w="204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C636B" w14:textId="77777777" w:rsidR="00B72A6E" w:rsidRDefault="00000000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City-level population weighting applied to country TAM</w:t>
            </w:r>
          </w:p>
        </w:tc>
      </w:tr>
      <w:tr w:rsidR="00B72A6E" w14:paraId="2DCF73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07B3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840B5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SOM</w:t>
            </w:r>
          </w:p>
        </w:tc>
        <w:tc>
          <w:tcPr>
            <w:tcW w:w="19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7279D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Serviceable Obtainable Market — realistic Year 5 capture</w:t>
            </w:r>
          </w:p>
        </w:tc>
        <w:tc>
          <w:tcPr>
            <w:tcW w:w="23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76CED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E07B39"/>
                <w:sz w:val="18"/>
                <w:szCs w:val="18"/>
              </w:rPr>
              <w:t>$9.2M (Year 5 revenue)</w:t>
            </w:r>
          </w:p>
        </w:tc>
        <w:tc>
          <w:tcPr>
            <w:tcW w:w="23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AB775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 xml:space="preserve">13,966 </w:t>
            </w:r>
            <w:proofErr w:type="spellStart"/>
            <w:r>
              <w:rPr>
                <w:sz w:val="18"/>
                <w:szCs w:val="18"/>
              </w:rPr>
              <w:t>EoY</w:t>
            </w:r>
            <w:proofErr w:type="spellEnd"/>
            <w:r>
              <w:rPr>
                <w:sz w:val="18"/>
                <w:szCs w:val="18"/>
              </w:rPr>
              <w:t xml:space="preserve"> active drivers at blended JOD 39.19/month by Y5 (tier-mix shift), plus Year 2+ ancillary (JD 991K). Requires reaching 8 markets by Year 5.</w:t>
            </w:r>
          </w:p>
        </w:tc>
        <w:tc>
          <w:tcPr>
            <w:tcW w:w="204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CEAFB" w14:textId="77777777" w:rsidR="00B72A6E" w:rsidRDefault="00000000">
            <w:pPr>
              <w:spacing w:before="60" w:after="60"/>
            </w:pPr>
            <w:r>
              <w:rPr>
                <w:i/>
                <w:iCs/>
                <w:sz w:val="18"/>
                <w:szCs w:val="18"/>
              </w:rPr>
              <w:t>Cohort-based driver model; net income positive Year 2; cumulative payback Year 3; break-even at ~1,000–1,200 M2+ drivers</w:t>
            </w:r>
          </w:p>
        </w:tc>
      </w:tr>
    </w:tbl>
    <w:p w14:paraId="0A8276F1" w14:textId="77777777" w:rsidR="00B72A6E" w:rsidRDefault="00B72A6E">
      <w:pPr>
        <w:spacing w:before="160" w:after="160"/>
      </w:pPr>
    </w:p>
    <w:p w14:paraId="4A19BD1D" w14:textId="77777777" w:rsidR="00B72A6E" w:rsidRDefault="00000000">
      <w:pPr>
        <w:spacing w:before="240" w:after="80"/>
      </w:pPr>
      <w:proofErr w:type="gramStart"/>
      <w:r>
        <w:rPr>
          <w:b/>
          <w:bCs/>
          <w:color w:val="0D7A6E"/>
          <w:sz w:val="26"/>
          <w:szCs w:val="26"/>
        </w:rPr>
        <w:t>3.1  Jordan</w:t>
      </w:r>
      <w:proofErr w:type="gramEnd"/>
      <w:r>
        <w:rPr>
          <w:b/>
          <w:bCs/>
          <w:color w:val="0D7A6E"/>
          <w:sz w:val="26"/>
          <w:szCs w:val="26"/>
        </w:rPr>
        <w:t xml:space="preserve"> Deep Dive — Launch Market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320"/>
        <w:gridCol w:w="3320"/>
      </w:tblGrid>
      <w:tr w:rsidR="00B72A6E" w14:paraId="5F362D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8D8E6" w14:textId="77777777" w:rsidR="00B72A6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33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5E7D1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Figure</w:t>
            </w:r>
          </w:p>
        </w:tc>
        <w:tc>
          <w:tcPr>
            <w:tcW w:w="33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B04DB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B72A6E" w14:paraId="4A8781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744E6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Official licensed smart-app vehicles</w:t>
            </w:r>
          </w:p>
        </w:tc>
        <w:tc>
          <w:tcPr>
            <w:tcW w:w="33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AECF8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11,600</w:t>
            </w:r>
          </w:p>
        </w:tc>
        <w:tc>
          <w:tcPr>
            <w:tcW w:w="33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1AF87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LTRC (Jordan Land Transport Regulatory Commission), 2025</w:t>
            </w:r>
          </w:p>
        </w:tc>
      </w:tr>
      <w:tr w:rsidR="00B72A6E" w14:paraId="03B4EC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C1C78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Uber + Careem license allocation</w:t>
            </w:r>
          </w:p>
        </w:tc>
        <w:tc>
          <w:tcPr>
            <w:tcW w:w="33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D16DC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6,000 each (12,000 combined)</w:t>
            </w:r>
          </w:p>
        </w:tc>
        <w:tc>
          <w:tcPr>
            <w:tcW w:w="33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2EC03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Near-duopoly; ARIJ investigative report (Nov 2025)</w:t>
            </w:r>
          </w:p>
        </w:tc>
      </w:tr>
      <w:tr w:rsidR="00B72A6E" w14:paraId="263C08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B94C2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Estimated unlicensed app drivers</w:t>
            </w:r>
          </w:p>
        </w:tc>
        <w:tc>
          <w:tcPr>
            <w:tcW w:w="33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6BEDA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50,000+</w:t>
            </w:r>
          </w:p>
        </w:tc>
        <w:tc>
          <w:tcPr>
            <w:tcW w:w="33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48C03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Per Jordanian Parliament + Smart Apps Drivers Committee</w:t>
            </w:r>
          </w:p>
        </w:tc>
      </w:tr>
      <w:tr w:rsidR="00B72A6E" w14:paraId="26BAAE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5BC84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Avg. gross driver monthly revenue (Careem/Uber)</w:t>
            </w:r>
          </w:p>
        </w:tc>
        <w:tc>
          <w:tcPr>
            <w:tcW w:w="33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E0D6A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JD 585/month</w:t>
            </w:r>
          </w:p>
        </w:tc>
        <w:tc>
          <w:tcPr>
            <w:tcW w:w="33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55FD7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JD 2.50 avg fare × 9 trips/day × 26 days — per Wasel model assumptions</w:t>
            </w:r>
          </w:p>
        </w:tc>
      </w:tr>
      <w:tr w:rsidR="00B72A6E" w14:paraId="4AEFF2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6AE21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Platform commission paid (30%)</w:t>
            </w:r>
          </w:p>
        </w:tc>
        <w:tc>
          <w:tcPr>
            <w:tcW w:w="33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32426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JD 175.50/month</w:t>
            </w:r>
          </w:p>
        </w:tc>
        <w:tc>
          <w:tcPr>
            <w:tcW w:w="33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E7875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Extracted by Uber/Careem from every fare; 30% of JD 585</w:t>
            </w:r>
          </w:p>
        </w:tc>
      </w:tr>
      <w:tr w:rsidR="00B72A6E" w14:paraId="47211C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D619B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Wasel flat fee (blended, all tiers)</w:t>
            </w:r>
          </w:p>
        </w:tc>
        <w:tc>
          <w:tcPr>
            <w:tcW w:w="33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667C6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JD 32.25/month ($45.47 USD)</w:t>
            </w:r>
          </w:p>
        </w:tc>
        <w:tc>
          <w:tcPr>
            <w:tcW w:w="33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8097E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45% Starter (JD 20) / 35% Core (JD 35) / 20% Pro (JD 55) — model-derived tier mix</w:t>
            </w:r>
          </w:p>
        </w:tc>
      </w:tr>
      <w:tr w:rsidR="00B72A6E" w14:paraId="3BFEC6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18878" w14:textId="77777777" w:rsidR="00B72A6E" w:rsidRDefault="00000000">
            <w:pPr>
              <w:spacing w:before="60" w:after="60"/>
            </w:pPr>
            <w:r>
              <w:rPr>
                <w:b/>
                <w:bCs/>
                <w:color w:val="1B3A5C"/>
                <w:sz w:val="18"/>
                <w:szCs w:val="18"/>
              </w:rPr>
              <w:t>Monthly savings per driver</w:t>
            </w:r>
          </w:p>
        </w:tc>
        <w:tc>
          <w:tcPr>
            <w:tcW w:w="33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D3A5C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7A6E"/>
                <w:sz w:val="18"/>
                <w:szCs w:val="18"/>
              </w:rPr>
              <w:t>JD 143.25 (−81.6% cost reduction)</w:t>
            </w:r>
          </w:p>
        </w:tc>
        <w:tc>
          <w:tcPr>
            <w:tcW w:w="33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4C24D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Transformative in a low-wage economy (avg. Jordanian salary ~JD 500–600)</w:t>
            </w:r>
          </w:p>
        </w:tc>
      </w:tr>
      <w:tr w:rsidR="00B72A6E" w14:paraId="3B4071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24E75" w14:textId="77777777" w:rsidR="00B72A6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Jordan subscription TAM (annual)</w:t>
            </w:r>
          </w:p>
        </w:tc>
        <w:tc>
          <w:tcPr>
            <w:tcW w:w="33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8A131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$11.9M</w:t>
            </w:r>
          </w:p>
        </w:tc>
        <w:tc>
          <w:tcPr>
            <w:tcW w:w="33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CA19B" w14:textId="77777777" w:rsidR="00B72A6E" w:rsidRDefault="00000000">
            <w:pPr>
              <w:spacing w:before="60" w:after="60"/>
            </w:pPr>
            <w:r>
              <w:rPr>
                <w:color w:val="FFFFFF"/>
                <w:sz w:val="18"/>
                <w:szCs w:val="18"/>
              </w:rPr>
              <w:t>22,000 drivers × $45.47/month × 12</w:t>
            </w:r>
          </w:p>
        </w:tc>
      </w:tr>
      <w:tr w:rsidR="00B72A6E" w14:paraId="68F099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0D7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8C6AA" w14:textId="77777777" w:rsidR="00B72A6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Wasel break-even threshold</w:t>
            </w:r>
          </w:p>
        </w:tc>
        <w:tc>
          <w:tcPr>
            <w:tcW w:w="33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0D7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A4186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~1,000–1,200 active M2+ drivers</w:t>
            </w:r>
          </w:p>
        </w:tc>
        <w:tc>
          <w:tcPr>
            <w:tcW w:w="33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0D7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07C61" w14:textId="77777777" w:rsidR="00B72A6E" w:rsidRDefault="00000000">
            <w:pPr>
              <w:spacing w:before="60" w:after="60"/>
            </w:pPr>
            <w:r>
              <w:rPr>
                <w:color w:val="FFFFFF"/>
                <w:sz w:val="18"/>
                <w:szCs w:val="18"/>
              </w:rPr>
              <w:t>~5–6% of the licensed market; break-even confirmed via stress-test modelling</w:t>
            </w:r>
          </w:p>
        </w:tc>
      </w:tr>
    </w:tbl>
    <w:p w14:paraId="712EBB62" w14:textId="77777777" w:rsidR="00B72A6E" w:rsidRDefault="00B72A6E">
      <w:pPr>
        <w:spacing w:before="200" w:after="200"/>
      </w:pPr>
    </w:p>
    <w:p w14:paraId="28D7943E" w14:textId="77777777" w:rsidR="00B72A6E" w:rsidRDefault="00B72A6E">
      <w:pPr>
        <w:pBdr>
          <w:bottom w:val="single" w:sz="8" w:space="1" w:color="0D7A6E"/>
        </w:pBdr>
        <w:spacing w:before="160" w:after="160"/>
      </w:pPr>
    </w:p>
    <w:p w14:paraId="715EC8BD" w14:textId="77777777" w:rsidR="00B72A6E" w:rsidRDefault="00000000">
      <w:pPr>
        <w:spacing w:before="320" w:after="120"/>
      </w:pPr>
      <w:r>
        <w:rPr>
          <w:b/>
          <w:bCs/>
          <w:color w:val="1B3A5C"/>
          <w:sz w:val="34"/>
          <w:szCs w:val="34"/>
        </w:rPr>
        <w:lastRenderedPageBreak/>
        <w:t>SECTION 4 — 5-YEAR GROWTH PROJECTIONS</w:t>
      </w:r>
    </w:p>
    <w:p w14:paraId="5C480008" w14:textId="77777777" w:rsidR="00B72A6E" w:rsidRDefault="00B72A6E">
      <w:pPr>
        <w:pBdr>
          <w:bottom w:val="single" w:sz="8" w:space="1" w:color="0D7A6E"/>
        </w:pBdr>
        <w:spacing w:before="160" w:after="160"/>
      </w:pPr>
    </w:p>
    <w:p w14:paraId="51361908" w14:textId="77777777" w:rsidR="00B72A6E" w:rsidRDefault="00000000">
      <w:pPr>
        <w:spacing w:before="240" w:after="80"/>
      </w:pPr>
      <w:proofErr w:type="gramStart"/>
      <w:r>
        <w:rPr>
          <w:b/>
          <w:bCs/>
          <w:color w:val="0D7A6E"/>
          <w:sz w:val="26"/>
          <w:szCs w:val="26"/>
        </w:rPr>
        <w:t>4.1  Market</w:t>
      </w:r>
      <w:proofErr w:type="gramEnd"/>
      <w:r>
        <w:rPr>
          <w:b/>
          <w:bCs/>
          <w:color w:val="0D7A6E"/>
          <w:sz w:val="26"/>
          <w:szCs w:val="26"/>
        </w:rPr>
        <w:t xml:space="preserve"> CAGR Assumptions by Country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80"/>
        <w:gridCol w:w="1680"/>
        <w:gridCol w:w="2000"/>
        <w:gridCol w:w="2080"/>
      </w:tblGrid>
      <w:tr w:rsidR="00B72A6E" w14:paraId="30FB90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B37DA" w14:textId="77777777" w:rsidR="00B72A6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Country</w:t>
            </w:r>
          </w:p>
        </w:tc>
        <w:tc>
          <w:tcPr>
            <w:tcW w:w="16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A67E8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Conservative CAGR</w:t>
            </w:r>
          </w:p>
        </w:tc>
        <w:tc>
          <w:tcPr>
            <w:tcW w:w="16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11496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Base CAGR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F8825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Upside CAGR</w:t>
            </w:r>
          </w:p>
        </w:tc>
        <w:tc>
          <w:tcPr>
            <w:tcW w:w="20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E27C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Drivers</w:t>
            </w:r>
          </w:p>
        </w:tc>
      </w:tr>
      <w:tr w:rsidR="00B72A6E" w14:paraId="737C65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8F177" w14:textId="77777777" w:rsidR="00B72A6E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Jordan</w:t>
            </w:r>
          </w:p>
        </w:tc>
        <w:tc>
          <w:tcPr>
            <w:tcW w:w="16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42764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5.0%</w:t>
            </w:r>
          </w:p>
        </w:tc>
        <w:tc>
          <w:tcPr>
            <w:tcW w:w="16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7F3E9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8.0%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4D72F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11.0%</w:t>
            </w:r>
          </w:p>
        </w:tc>
        <w:tc>
          <w:tcPr>
            <w:tcW w:w="20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FFFFD" w14:textId="77777777" w:rsidR="00B72A6E" w:rsidRDefault="00000000">
            <w:pPr>
              <w:spacing w:before="60" w:after="60"/>
            </w:pPr>
            <w:r>
              <w:rPr>
                <w:sz w:val="17"/>
                <w:szCs w:val="17"/>
              </w:rPr>
              <w:t>Regulatory expansion of licenses; informal market formalization</w:t>
            </w:r>
          </w:p>
        </w:tc>
      </w:tr>
      <w:tr w:rsidR="00B72A6E" w14:paraId="36E90E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0A77F" w14:textId="77777777" w:rsidR="00B72A6E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Iraq</w:t>
            </w:r>
          </w:p>
        </w:tc>
        <w:tc>
          <w:tcPr>
            <w:tcW w:w="16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65B5F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8.0%</w:t>
            </w:r>
          </w:p>
        </w:tc>
        <w:tc>
          <w:tcPr>
            <w:tcW w:w="16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C3A1B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12.0%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DFB8B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18.0%</w:t>
            </w:r>
          </w:p>
        </w:tc>
        <w:tc>
          <w:tcPr>
            <w:tcW w:w="20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7E641" w14:textId="77777777" w:rsidR="00B72A6E" w:rsidRDefault="00000000">
            <w:pPr>
              <w:spacing w:before="60" w:after="60"/>
            </w:pPr>
            <w:r>
              <w:rPr>
                <w:sz w:val="17"/>
                <w:szCs w:val="17"/>
              </w:rPr>
              <w:t>Young population (60%+ under 30); oil revenue rebuilding cities; low penetration base</w:t>
            </w:r>
          </w:p>
        </w:tc>
      </w:tr>
      <w:tr w:rsidR="00B72A6E" w14:paraId="3D7F21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F0C63" w14:textId="77777777" w:rsidR="00B72A6E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Egypt</w:t>
            </w:r>
          </w:p>
        </w:tc>
        <w:tc>
          <w:tcPr>
            <w:tcW w:w="16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B0668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9.0%</w:t>
            </w:r>
          </w:p>
        </w:tc>
        <w:tc>
          <w:tcPr>
            <w:tcW w:w="16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1B8D1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11.4%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C1F7E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14.3%</w:t>
            </w:r>
          </w:p>
        </w:tc>
        <w:tc>
          <w:tcPr>
            <w:tcW w:w="20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0D819" w14:textId="77777777" w:rsidR="00B72A6E" w:rsidRDefault="00000000">
            <w:pPr>
              <w:spacing w:before="60" w:after="60"/>
            </w:pPr>
            <w:r>
              <w:rPr>
                <w:sz w:val="17"/>
                <w:szCs w:val="17"/>
              </w:rPr>
              <w:t>Population 106M; Cairo 21M; high smartphone penetration; Bolt entry (2024) validates market</w:t>
            </w:r>
          </w:p>
        </w:tc>
      </w:tr>
      <w:tr w:rsidR="00B72A6E" w14:paraId="1A2E50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8C357" w14:textId="77777777" w:rsidR="00B72A6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Wasel Revenue CAGR (Years 1–5)</w:t>
            </w:r>
          </w:p>
        </w:tc>
        <w:tc>
          <w:tcPr>
            <w:tcW w:w="16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AD472" w14:textId="77777777" w:rsidR="00B72A6E" w:rsidRDefault="00000000">
            <w:pPr>
              <w:spacing w:before="60" w:after="60"/>
              <w:jc w:val="center"/>
            </w:pPr>
            <w:r>
              <w:rPr>
                <w:color w:val="FFFFFF"/>
                <w:sz w:val="18"/>
                <w:szCs w:val="18"/>
              </w:rPr>
              <w:t>Conservative</w:t>
            </w:r>
          </w:p>
        </w:tc>
        <w:tc>
          <w:tcPr>
            <w:tcW w:w="16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4EC36" w14:textId="77777777" w:rsidR="00B72A6E" w:rsidRDefault="00000000">
            <w:pPr>
              <w:spacing w:before="60" w:after="60"/>
              <w:jc w:val="center"/>
            </w:pPr>
            <w:r>
              <w:rPr>
                <w:color w:val="FFFFFF"/>
                <w:sz w:val="18"/>
                <w:szCs w:val="18"/>
              </w:rPr>
              <w:t>Base Case</w:t>
            </w:r>
          </w:p>
        </w:tc>
        <w:tc>
          <w:tcPr>
            <w:tcW w:w="2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6A271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DD88"/>
                <w:sz w:val="18"/>
                <w:szCs w:val="18"/>
              </w:rPr>
              <w:t>154% (Base)</w:t>
            </w:r>
          </w:p>
        </w:tc>
        <w:tc>
          <w:tcPr>
            <w:tcW w:w="20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2A62F" w14:textId="77777777" w:rsidR="00B72A6E" w:rsidRDefault="00000000">
            <w:pPr>
              <w:spacing w:before="60" w:after="60"/>
            </w:pPr>
            <w:r>
              <w:rPr>
                <w:color w:val="AACCFF"/>
                <w:sz w:val="17"/>
                <w:szCs w:val="17"/>
              </w:rPr>
              <w:t>Model-derived from 250-driver Amman seed; 30% MoM growth; 8-market geographic expansion to Y5. Ramp-year effect amplifies early CAGR.</w:t>
            </w:r>
          </w:p>
        </w:tc>
      </w:tr>
    </w:tbl>
    <w:p w14:paraId="7DDEF913" w14:textId="77777777" w:rsidR="00B72A6E" w:rsidRDefault="00B72A6E">
      <w:pPr>
        <w:spacing w:before="160" w:after="160"/>
      </w:pPr>
    </w:p>
    <w:p w14:paraId="6E0652F9" w14:textId="77777777" w:rsidR="00B72A6E" w:rsidRDefault="00000000">
      <w:pPr>
        <w:spacing w:before="240" w:after="80"/>
      </w:pPr>
      <w:proofErr w:type="gramStart"/>
      <w:r>
        <w:rPr>
          <w:b/>
          <w:bCs/>
          <w:color w:val="0D7A6E"/>
          <w:sz w:val="26"/>
          <w:szCs w:val="26"/>
        </w:rPr>
        <w:t>4.2  Wasel</w:t>
      </w:r>
      <w:proofErr w:type="gramEnd"/>
      <w:r>
        <w:rPr>
          <w:b/>
          <w:bCs/>
          <w:color w:val="0D7A6E"/>
          <w:sz w:val="26"/>
          <w:szCs w:val="26"/>
        </w:rPr>
        <w:t xml:space="preserve"> Revenue Projections — Base Case</w:t>
      </w:r>
    </w:p>
    <w:p w14:paraId="03AA0B14" w14:textId="77777777" w:rsidR="00B72A6E" w:rsidRDefault="00000000">
      <w:pPr>
        <w:spacing w:before="60" w:after="60"/>
      </w:pPr>
      <w:r>
        <w:rPr>
          <w:color w:val="5A5A5A"/>
          <w:sz w:val="18"/>
          <w:szCs w:val="18"/>
        </w:rPr>
        <w:t>Methodology: Starts with 250 seed drivers in Amman (Month 1), growing at 30% MoM compounded through a graduated onboarding funnel (25% M0→M1 churn, 12% M1→M2 churn, 4%/</w:t>
      </w:r>
      <w:proofErr w:type="spellStart"/>
      <w:r>
        <w:rPr>
          <w:color w:val="5A5A5A"/>
          <w:sz w:val="18"/>
          <w:szCs w:val="18"/>
        </w:rPr>
        <w:t>mo</w:t>
      </w:r>
      <w:proofErr w:type="spellEnd"/>
      <w:r>
        <w:rPr>
          <w:color w:val="5A5A5A"/>
          <w:sz w:val="18"/>
          <w:szCs w:val="18"/>
        </w:rPr>
        <w:t xml:space="preserve"> early active, 2%/</w:t>
      </w:r>
      <w:proofErr w:type="spellStart"/>
      <w:r>
        <w:rPr>
          <w:color w:val="5A5A5A"/>
          <w:sz w:val="18"/>
          <w:szCs w:val="18"/>
        </w:rPr>
        <w:t>mo</w:t>
      </w:r>
      <w:proofErr w:type="spellEnd"/>
      <w:r>
        <w:rPr>
          <w:color w:val="5A5A5A"/>
          <w:sz w:val="18"/>
          <w:szCs w:val="18"/>
        </w:rPr>
        <w:t xml:space="preserve"> mature). Revenue begins from Month 2 when M1 ramp drivers pay JD 10. Full tier pricing activates from M2+. Multi-year expansion follows the geographic roadmap (3 Jordan cities by Y2, Iraq by Y3, Egypt Y4–5) driving non-linear driver growth. All figures in JOD; USD at 1 JOD = $1.41.</w:t>
      </w:r>
    </w:p>
    <w:p w14:paraId="2D77B20B" w14:textId="77777777" w:rsidR="00B72A6E" w:rsidRDefault="00B72A6E">
      <w:pPr>
        <w:spacing w:before="80" w:after="8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88"/>
        <w:gridCol w:w="1488"/>
        <w:gridCol w:w="1488"/>
        <w:gridCol w:w="1488"/>
        <w:gridCol w:w="1488"/>
      </w:tblGrid>
      <w:tr w:rsidR="00B72A6E" w14:paraId="7DDA17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6172D" w14:textId="77777777" w:rsidR="00B72A6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4089D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Year 1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B6520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Year 2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33A4A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Year 3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01588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Year 4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6C46C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Year 5</w:t>
            </w:r>
          </w:p>
        </w:tc>
      </w:tr>
      <w:tr w:rsidR="00B72A6E" w14:paraId="13083F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B741C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Active Markets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2206D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Amman only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2CFAA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All 4 Jordan cities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56CF9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Jordan + Baghdad, Erbil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2597B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+ Basra + Cairo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FB965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8 markets (Jordan + Iraq + Egypt)</w:t>
            </w:r>
          </w:p>
        </w:tc>
      </w:tr>
      <w:tr w:rsidR="00B72A6E" w14:paraId="2519D2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F0869" w14:textId="77777777" w:rsidR="00B72A6E" w:rsidRDefault="00000000">
            <w:pPr>
              <w:spacing w:before="60" w:after="60"/>
            </w:pPr>
            <w:proofErr w:type="spellStart"/>
            <w:r>
              <w:rPr>
                <w:sz w:val="18"/>
                <w:szCs w:val="18"/>
              </w:rPr>
              <w:t>EoY</w:t>
            </w:r>
            <w:proofErr w:type="spellEnd"/>
            <w:r>
              <w:rPr>
                <w:sz w:val="18"/>
                <w:szCs w:val="18"/>
              </w:rPr>
              <w:t xml:space="preserve"> Active Drivers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28AA5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1,479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DC85D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3,254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C6B41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6,020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B83C9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9,632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BBACB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13,966</w:t>
            </w:r>
          </w:p>
        </w:tc>
      </w:tr>
      <w:tr w:rsidR="00B72A6E" w14:paraId="3F6C37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CEFF5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Avg Active Drivers (Annual)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E6F16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1,112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853BF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2,367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17511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4,637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4ED3D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7,826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DEB65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11,799</w:t>
            </w:r>
          </w:p>
        </w:tc>
      </w:tr>
      <w:tr w:rsidR="00B72A6E" w14:paraId="358F87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ADF82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Blended Monthly Fee (JOD)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D5896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JD 32.25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C74F1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JD 33.86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F2488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JD 36.23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94D4D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JD 38.04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738EB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JD 39.19</w:t>
            </w:r>
          </w:p>
        </w:tc>
      </w:tr>
      <w:tr w:rsidR="00B72A6E" w14:paraId="09A9AA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1DA8F" w14:textId="77777777" w:rsidR="00B72A6E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Subscription Revenue (JOD)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A7A8A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JD 157,261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BCAC3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JD 961,830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E7162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JD 2,016,142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08E93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JD 3,572,837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A6C4D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JD 5,548,247</w:t>
            </w:r>
          </w:p>
        </w:tc>
      </w:tr>
      <w:tr w:rsidR="00B72A6E" w14:paraId="63DB54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E8E84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lastRenderedPageBreak/>
              <w:t>Ancillary Revenue (JOD)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E4234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EC671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JD 28,404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B924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JD 139,110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E56A0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JD 422,604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DE29D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JD 991,116</w:t>
            </w:r>
          </w:p>
        </w:tc>
      </w:tr>
      <w:tr w:rsidR="00B72A6E" w14:paraId="58773C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797E8" w14:textId="77777777" w:rsidR="00B72A6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TOTAL REVENUE (JOD)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BA448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JD 157,261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A2184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JD 990,234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4AA1C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JD 2,155,252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EAFE5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JD 3,995,441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E8EBF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JD 6,539,363</w:t>
            </w:r>
          </w:p>
        </w:tc>
      </w:tr>
      <w:tr w:rsidR="00B72A6E" w14:paraId="2BABD5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0D7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CA838" w14:textId="77777777" w:rsidR="00B72A6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TOTAL REVENUE (USD equiv.)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0D7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E61AF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$221K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0D7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63B4A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$1.40M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0D7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D28A6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$3.04M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0D7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D4CEF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$5.63M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0D7A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D5B7E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$9.22M</w:t>
            </w:r>
          </w:p>
        </w:tc>
      </w:tr>
      <w:tr w:rsidR="00B72A6E" w14:paraId="30139E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C67E6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YoY Revenue Growth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ACF0E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6002A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7A6E"/>
                <w:sz w:val="18"/>
                <w:szCs w:val="18"/>
              </w:rPr>
              <w:t>+530%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107F4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7A6E"/>
                <w:sz w:val="18"/>
                <w:szCs w:val="18"/>
              </w:rPr>
              <w:t>+118%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AD40F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7A6E"/>
                <w:sz w:val="18"/>
                <w:szCs w:val="18"/>
              </w:rPr>
              <w:t>+85%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63B09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7A6E"/>
                <w:sz w:val="18"/>
                <w:szCs w:val="18"/>
              </w:rPr>
              <w:t>+64%</w:t>
            </w:r>
          </w:p>
        </w:tc>
      </w:tr>
      <w:tr w:rsidR="00B72A6E" w14:paraId="2C04D5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96491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EBITDA (JOD)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3FE8C" w14:textId="77777777" w:rsidR="00B72A6E" w:rsidRDefault="00000000">
            <w:pPr>
              <w:spacing w:before="60" w:after="60"/>
              <w:jc w:val="center"/>
            </w:pPr>
            <w:r>
              <w:rPr>
                <w:color w:val="CC0000"/>
                <w:sz w:val="18"/>
                <w:szCs w:val="18"/>
              </w:rPr>
              <w:t>(JD 789,667)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8FBAD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sz w:val="18"/>
                <w:szCs w:val="18"/>
              </w:rPr>
              <w:t>JD 120,964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C0C3D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sz w:val="18"/>
                <w:szCs w:val="18"/>
              </w:rPr>
              <w:t>JD 887,804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E6BAF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sz w:val="18"/>
                <w:szCs w:val="18"/>
              </w:rPr>
              <w:t>JD 2,236,917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5E526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sz w:val="18"/>
                <w:szCs w:val="18"/>
              </w:rPr>
              <w:t>JD 4,225,115</w:t>
            </w:r>
          </w:p>
        </w:tc>
      </w:tr>
      <w:tr w:rsidR="00B72A6E" w14:paraId="4200C6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EED74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EBITDA Margin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853C8" w14:textId="77777777" w:rsidR="00B72A6E" w:rsidRDefault="00000000">
            <w:pPr>
              <w:spacing w:before="60" w:after="60"/>
              <w:jc w:val="center"/>
            </w:pPr>
            <w:r>
              <w:rPr>
                <w:color w:val="CC0000"/>
                <w:sz w:val="18"/>
                <w:szCs w:val="18"/>
              </w:rPr>
              <w:t>(502%)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2F4ED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12.2%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AF6B3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41.2%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6F942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56.0%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536B7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64.6%</w:t>
            </w:r>
          </w:p>
        </w:tc>
      </w:tr>
      <w:tr w:rsidR="00B72A6E" w14:paraId="1DB40F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A4249" w14:textId="77777777" w:rsidR="00B72A6E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Net Income (JOD)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DCC39" w14:textId="77777777" w:rsidR="00B72A6E" w:rsidRDefault="00000000">
            <w:pPr>
              <w:spacing w:before="60" w:after="60"/>
              <w:jc w:val="center"/>
            </w:pPr>
            <w:r>
              <w:rPr>
                <w:color w:val="CC0000"/>
                <w:sz w:val="18"/>
                <w:szCs w:val="18"/>
              </w:rPr>
              <w:t>(JD 801,334)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0A184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06600"/>
                <w:sz w:val="18"/>
                <w:szCs w:val="18"/>
              </w:rPr>
              <w:t>JD 107,547 ✓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113B5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JD 873,045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DB68E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JD 2,220,977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DF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16171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JD 4,208,378</w:t>
            </w:r>
          </w:p>
        </w:tc>
      </w:tr>
      <w:tr w:rsidR="00B72A6E" w14:paraId="6B7BD5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87CB1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Cumulative Net Income (JOD)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446AC" w14:textId="77777777" w:rsidR="00B72A6E" w:rsidRDefault="00000000">
            <w:pPr>
              <w:spacing w:before="60" w:after="60"/>
              <w:jc w:val="center"/>
            </w:pPr>
            <w:r>
              <w:rPr>
                <w:color w:val="CC0000"/>
                <w:sz w:val="18"/>
                <w:szCs w:val="18"/>
              </w:rPr>
              <w:t>(JD 801,334)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8336A" w14:textId="77777777" w:rsidR="00B72A6E" w:rsidRDefault="00000000">
            <w:pPr>
              <w:spacing w:before="60" w:after="60"/>
              <w:jc w:val="center"/>
            </w:pPr>
            <w:r>
              <w:rPr>
                <w:color w:val="CC0000"/>
                <w:sz w:val="18"/>
                <w:szCs w:val="18"/>
              </w:rPr>
              <w:t>(JD 693,787)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937CF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06600"/>
                <w:sz w:val="18"/>
                <w:szCs w:val="18"/>
              </w:rPr>
              <w:t>JD 179,259 ✓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ED2EC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JD 2,400,236</w:t>
            </w:r>
          </w:p>
        </w:tc>
        <w:tc>
          <w:tcPr>
            <w:tcW w:w="148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E6F98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JD 6,608,614</w:t>
            </w:r>
          </w:p>
        </w:tc>
      </w:tr>
    </w:tbl>
    <w:p w14:paraId="08AB8A89" w14:textId="77777777" w:rsidR="00B72A6E" w:rsidRDefault="00B72A6E">
      <w:pPr>
        <w:spacing w:before="80" w:after="80"/>
      </w:pPr>
    </w:p>
    <w:p w14:paraId="37EE6AE2" w14:textId="77777777" w:rsidR="00B72A6E" w:rsidRDefault="00000000">
      <w:pPr>
        <w:spacing w:before="60" w:after="60"/>
      </w:pPr>
      <w:r>
        <w:rPr>
          <w:b/>
          <w:bCs/>
          <w:color w:val="1B3A5C"/>
        </w:rPr>
        <w:t xml:space="preserve">5-Year Revenue CAGR (Base Case): </w:t>
      </w:r>
      <w:r>
        <w:rPr>
          <w:color w:val="0D7A6E"/>
        </w:rPr>
        <w:t>~154% (</w:t>
      </w:r>
      <w:proofErr w:type="gramStart"/>
      <w:r>
        <w:rPr>
          <w:color w:val="0D7A6E"/>
        </w:rPr>
        <w:t>JOD)  |</w:t>
      </w:r>
      <w:proofErr w:type="gramEnd"/>
      <w:r>
        <w:rPr>
          <w:color w:val="0D7A6E"/>
        </w:rPr>
        <w:t xml:space="preserve">  </w:t>
      </w:r>
      <w:r>
        <w:rPr>
          <w:color w:val="5A5A5A"/>
        </w:rPr>
        <w:t>Note: Year 1 is the ramp year (Amman only, 250 seed drivers). Y1→Y2 growth (+530%) reflects multi-city Jordan expansion. Y2–Y5 growth normalizes to 64–118% as the model matures. Net income turns positive in Year 2; cumulative payback achieved in Year 3.</w:t>
      </w:r>
    </w:p>
    <w:p w14:paraId="50873405" w14:textId="77777777" w:rsidR="00B72A6E" w:rsidRDefault="00000000">
      <w:pPr>
        <w:spacing w:before="60" w:after="60"/>
      </w:pPr>
      <w:r>
        <w:rPr>
          <w:color w:val="5A5A5A"/>
          <w:sz w:val="18"/>
          <w:szCs w:val="18"/>
        </w:rPr>
        <w:t xml:space="preserve">SOM Penetration at Year 5: 13,966 </w:t>
      </w:r>
      <w:proofErr w:type="spellStart"/>
      <w:r>
        <w:rPr>
          <w:color w:val="5A5A5A"/>
          <w:sz w:val="18"/>
          <w:szCs w:val="18"/>
        </w:rPr>
        <w:t>EoY</w:t>
      </w:r>
      <w:proofErr w:type="spellEnd"/>
      <w:r>
        <w:rPr>
          <w:color w:val="5A5A5A"/>
          <w:sz w:val="18"/>
          <w:szCs w:val="18"/>
        </w:rPr>
        <w:t xml:space="preserve"> drivers across 8 markets, generating JD 6.54M ($9.22M USD). This represents ~11.8% of the $78M combined-market subscription TAM and ~12% of the </w:t>
      </w:r>
      <w:proofErr w:type="spellStart"/>
      <w:r>
        <w:rPr>
          <w:color w:val="5A5A5A"/>
          <w:sz w:val="18"/>
          <w:szCs w:val="18"/>
        </w:rPr>
        <w:t>Jordan+Iraq+Egypt</w:t>
      </w:r>
      <w:proofErr w:type="spellEnd"/>
      <w:r>
        <w:rPr>
          <w:color w:val="5A5A5A"/>
          <w:sz w:val="18"/>
          <w:szCs w:val="18"/>
        </w:rPr>
        <w:t xml:space="preserve"> SAM.</w:t>
      </w:r>
    </w:p>
    <w:p w14:paraId="6DE38E70" w14:textId="77777777" w:rsidR="00B72A6E" w:rsidRDefault="00B72A6E">
      <w:pPr>
        <w:spacing w:before="200" w:after="200"/>
      </w:pPr>
    </w:p>
    <w:p w14:paraId="4DDC4ABC" w14:textId="77777777" w:rsidR="00B72A6E" w:rsidRDefault="00B72A6E">
      <w:pPr>
        <w:pBdr>
          <w:bottom w:val="single" w:sz="8" w:space="1" w:color="0D7A6E"/>
        </w:pBdr>
        <w:spacing w:before="160" w:after="160"/>
      </w:pPr>
    </w:p>
    <w:p w14:paraId="172BE54B" w14:textId="77777777" w:rsidR="00B72A6E" w:rsidRDefault="00000000">
      <w:pPr>
        <w:spacing w:before="320" w:after="120"/>
      </w:pPr>
      <w:r>
        <w:rPr>
          <w:b/>
          <w:bCs/>
          <w:color w:val="1B3A5C"/>
          <w:sz w:val="34"/>
          <w:szCs w:val="34"/>
        </w:rPr>
        <w:t>SECTION 5 — COMPARISON: THREE ANALYST REPORTS</w:t>
      </w:r>
    </w:p>
    <w:p w14:paraId="0A081D4E" w14:textId="77777777" w:rsidR="00B72A6E" w:rsidRDefault="00B72A6E">
      <w:pPr>
        <w:pBdr>
          <w:bottom w:val="single" w:sz="8" w:space="1" w:color="0D7A6E"/>
        </w:pBdr>
        <w:spacing w:before="160" w:after="16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60"/>
        <w:gridCol w:w="1520"/>
        <w:gridCol w:w="1520"/>
        <w:gridCol w:w="1520"/>
        <w:gridCol w:w="1320"/>
      </w:tblGrid>
      <w:tr w:rsidR="00B72A6E" w14:paraId="5FE90D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8EF82" w14:textId="77777777" w:rsidR="00B72A6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Research Firm</w:t>
            </w:r>
          </w:p>
        </w:tc>
        <w:tc>
          <w:tcPr>
            <w:tcW w:w="1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93495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Report Focus</w:t>
            </w:r>
          </w:p>
        </w:tc>
        <w:tc>
          <w:tcPr>
            <w:tcW w:w="15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2F041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Market Size</w:t>
            </w:r>
          </w:p>
        </w:tc>
        <w:tc>
          <w:tcPr>
            <w:tcW w:w="15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7A2F5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CAGR</w:t>
            </w:r>
          </w:p>
        </w:tc>
        <w:tc>
          <w:tcPr>
            <w:tcW w:w="15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39DCB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Methodology</w:t>
            </w:r>
          </w:p>
        </w:tc>
        <w:tc>
          <w:tcPr>
            <w:tcW w:w="13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95A46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Wasel Relevance</w:t>
            </w:r>
          </w:p>
        </w:tc>
      </w:tr>
      <w:tr w:rsidR="00B72A6E" w14:paraId="4A45C9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A8598" w14:textId="77777777" w:rsidR="00B72A6E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Astute Analytica (Jul 2024)</w:t>
            </w:r>
          </w:p>
        </w:tc>
        <w:tc>
          <w:tcPr>
            <w:tcW w:w="1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3D42A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Middle East Ride-Hailing Services Market 2024–2032</w:t>
            </w:r>
          </w:p>
        </w:tc>
        <w:tc>
          <w:tcPr>
            <w:tcW w:w="15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F0EB8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$4.29B (2023) $12.40B by 2032</w:t>
            </w:r>
          </w:p>
        </w:tc>
        <w:tc>
          <w:tcPr>
            <w:tcW w:w="15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4A348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13.4% CAGR</w:t>
            </w:r>
          </w:p>
        </w:tc>
        <w:tc>
          <w:tcPr>
            <w:tcW w:w="15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8ACFD" w14:textId="77777777" w:rsidR="00B72A6E" w:rsidRDefault="00000000">
            <w:pPr>
              <w:spacing w:before="60" w:after="60"/>
            </w:pPr>
            <w:r>
              <w:rPr>
                <w:sz w:val="17"/>
                <w:szCs w:val="17"/>
              </w:rPr>
              <w:t>Top-down with country segmentation; includes GCC premium markets</w:t>
            </w:r>
          </w:p>
        </w:tc>
        <w:tc>
          <w:tcPr>
            <w:tcW w:w="13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149B6" w14:textId="77777777" w:rsidR="00B72A6E" w:rsidRDefault="00000000">
            <w:pPr>
              <w:spacing w:before="60" w:after="60"/>
            </w:pPr>
            <w:r>
              <w:rPr>
                <w:sz w:val="16"/>
                <w:szCs w:val="16"/>
              </w:rPr>
              <w:t>Sets optimistic MENA ceiling; Wasel targets non-GCC subset where growth is structurally driven by cost pressure, not luxury</w:t>
            </w:r>
          </w:p>
        </w:tc>
      </w:tr>
      <w:tr w:rsidR="00B72A6E" w14:paraId="0BC5FF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55E27" w14:textId="77777777" w:rsidR="00B72A6E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Grand View Research (2024–2025)</w:t>
            </w:r>
          </w:p>
        </w:tc>
        <w:tc>
          <w:tcPr>
            <w:tcW w:w="1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A0530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Egypt Ride Hailing Service Market</w:t>
            </w:r>
          </w:p>
        </w:tc>
        <w:tc>
          <w:tcPr>
            <w:tcW w:w="15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5E86A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$1.84B (2024) $3.61B by 2030</w:t>
            </w:r>
          </w:p>
        </w:tc>
        <w:tc>
          <w:tcPr>
            <w:tcW w:w="15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20C83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11.4% CAGR</w:t>
            </w:r>
          </w:p>
        </w:tc>
        <w:tc>
          <w:tcPr>
            <w:tcW w:w="15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6EDE9" w14:textId="77777777" w:rsidR="00B72A6E" w:rsidRDefault="00000000">
            <w:pPr>
              <w:spacing w:before="60" w:after="60"/>
            </w:pPr>
            <w:r>
              <w:rPr>
                <w:sz w:val="17"/>
                <w:szCs w:val="17"/>
              </w:rPr>
              <w:t>Bottom-up + interviews; covers car sharing, e-hailing, rental segments</w:t>
            </w:r>
          </w:p>
        </w:tc>
        <w:tc>
          <w:tcPr>
            <w:tcW w:w="13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1C1D5" w14:textId="77777777" w:rsidR="00B72A6E" w:rsidRDefault="00000000">
            <w:pPr>
              <w:spacing w:before="60" w:after="60"/>
            </w:pPr>
            <w:r>
              <w:rPr>
                <w:sz w:val="16"/>
                <w:szCs w:val="16"/>
              </w:rPr>
              <w:t>Egypt is Wasel’s Year 3 target. Bolt’s 2024 entry validates competitive demand. E-hailing sub-segment (~$400–500M) is Wasel’s true Egypt TAM.</w:t>
            </w:r>
          </w:p>
        </w:tc>
      </w:tr>
      <w:tr w:rsidR="00B72A6E" w14:paraId="5F434B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5690B" w14:textId="77777777" w:rsidR="00B72A6E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lastRenderedPageBreak/>
              <w:t>Statista / Cognitive Market Research (2024–2025)</w:t>
            </w:r>
          </w:p>
        </w:tc>
        <w:tc>
          <w:tcPr>
            <w:tcW w:w="17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BA06B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Ride-hailing by country: Jordan, Iraq, Egypt, MEA region</w:t>
            </w:r>
          </w:p>
        </w:tc>
        <w:tc>
          <w:tcPr>
            <w:tcW w:w="15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5DF0C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Jordan: $60–75M Iraq: $115–143M Egypt: $309–402M MEA: $3.83B</w:t>
            </w:r>
          </w:p>
        </w:tc>
        <w:tc>
          <w:tcPr>
            <w:tcW w:w="15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A8F5A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5.1–8.7% (Statista) 8.7% (Cognitive MEA)</w:t>
            </w:r>
          </w:p>
        </w:tc>
        <w:tc>
          <w:tcPr>
            <w:tcW w:w="15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A27D1" w14:textId="77777777" w:rsidR="00B72A6E" w:rsidRDefault="00000000">
            <w:pPr>
              <w:spacing w:before="60" w:after="60"/>
            </w:pPr>
            <w:r>
              <w:rPr>
                <w:sz w:val="17"/>
                <w:szCs w:val="17"/>
              </w:rPr>
              <w:t>Statista: consumer survey + platform transaction data; most conservative estimates; excludes informal sector</w:t>
            </w:r>
          </w:p>
        </w:tc>
        <w:tc>
          <w:tcPr>
            <w:tcW w:w="132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658A4" w14:textId="77777777" w:rsidR="00B72A6E" w:rsidRDefault="00000000">
            <w:pPr>
              <w:spacing w:before="60" w:after="60"/>
            </w:pPr>
            <w:r>
              <w:rPr>
                <w:sz w:val="16"/>
                <w:szCs w:val="16"/>
              </w:rPr>
              <w:t>Most relevant for Jordan/Iraq micro-sizing. Conservative baseline for investor credibility. Excludes 50,000+ informal Jordan drivers — Wasel’s primary supply pool.</w:t>
            </w:r>
          </w:p>
        </w:tc>
      </w:tr>
    </w:tbl>
    <w:p w14:paraId="33B9B808" w14:textId="77777777" w:rsidR="00B72A6E" w:rsidRDefault="00B72A6E">
      <w:pPr>
        <w:spacing w:before="80" w:after="8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0"/>
      </w:tblGrid>
      <w:tr w:rsidR="00B72A6E" w14:paraId="5D8B853F" w14:textId="77777777">
        <w:tblPrEx>
          <w:tblCellMar>
            <w:top w:w="0" w:type="dxa"/>
            <w:bottom w:w="0" w:type="dxa"/>
          </w:tblCellMar>
        </w:tblPrEx>
        <w:tc>
          <w:tcPr>
            <w:tcW w:w="9840" w:type="dxa"/>
            <w:tcBorders>
              <w:top w:val="single" w:sz="6" w:space="0" w:color="0D7A6E"/>
              <w:left w:val="nil"/>
              <w:bottom w:val="single" w:sz="6" w:space="0" w:color="0D7A6E"/>
              <w:right w:val="nil"/>
            </w:tcBorders>
            <w:shd w:val="clear" w:color="auto" w:fill="EDF3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6D5E27F" w14:textId="77777777" w:rsidR="00B72A6E" w:rsidRDefault="00000000">
            <w:pPr>
              <w:spacing w:after="80"/>
            </w:pPr>
            <w:r>
              <w:rPr>
                <w:b/>
                <w:bCs/>
                <w:color w:val="1B3A5C"/>
                <w:sz w:val="22"/>
                <w:szCs w:val="22"/>
              </w:rPr>
              <w:t>Analyst Reconciliation: Why Estimates Vary</w:t>
            </w:r>
          </w:p>
          <w:p w14:paraId="065F08F1" w14:textId="77777777" w:rsidR="00B72A6E" w:rsidRDefault="00000000">
            <w:pPr>
              <w:spacing w:after="60"/>
            </w:pPr>
            <w:r>
              <w:rPr>
                <w:color w:val="5A5A5A"/>
                <w:sz w:val="19"/>
                <w:szCs w:val="19"/>
              </w:rPr>
              <w:t xml:space="preserve">The wide variance across analyst estimates (e.g., Egypt at $309M vs $1.84B) reflects methodological differences: Statista captures only </w:t>
            </w:r>
            <w:proofErr w:type="gramStart"/>
            <w:r>
              <w:rPr>
                <w:color w:val="5A5A5A"/>
                <w:sz w:val="19"/>
                <w:szCs w:val="19"/>
              </w:rPr>
              <w:t>digitally-booked</w:t>
            </w:r>
            <w:proofErr w:type="gramEnd"/>
            <w:r>
              <w:rPr>
                <w:color w:val="5A5A5A"/>
                <w:sz w:val="19"/>
                <w:szCs w:val="19"/>
              </w:rPr>
              <w:t xml:space="preserve"> rides by formal platforms (excluding cash transactions and informal drivers), while Grand View and Astute Analytica include </w:t>
            </w:r>
            <w:proofErr w:type="gramStart"/>
            <w:r>
              <w:rPr>
                <w:color w:val="5A5A5A"/>
                <w:sz w:val="19"/>
                <w:szCs w:val="19"/>
              </w:rPr>
              <w:t>car-sharing</w:t>
            </w:r>
            <w:proofErr w:type="gramEnd"/>
            <w:r>
              <w:rPr>
                <w:color w:val="5A5A5A"/>
                <w:sz w:val="19"/>
                <w:szCs w:val="19"/>
              </w:rPr>
              <w:t>, rentals, and informal mobility. For Wasel’s purposes, the truth lies between these poles. Wasel’s supply-side TAM (driver subscriptions) is most accurately modeled using bottom-up driver population data cross-referenced with Statista country-level metrics as a floor.</w:t>
            </w:r>
          </w:p>
          <w:p w14:paraId="06E6C11F" w14:textId="77777777" w:rsidR="00B72A6E" w:rsidRDefault="00000000">
            <w:r>
              <w:rPr>
                <w:b/>
                <w:bCs/>
                <w:color w:val="0D7A6E"/>
                <w:sz w:val="19"/>
                <w:szCs w:val="19"/>
              </w:rPr>
              <w:t>Jordan’s 50,000+ informal drivers (per Parliament testimony) represent Wasel’s most compelling early market: a documented, frustrated supply base that no existing platform is adequately serving.</w:t>
            </w:r>
          </w:p>
        </w:tc>
      </w:tr>
    </w:tbl>
    <w:p w14:paraId="4C83AA90" w14:textId="77777777" w:rsidR="00B72A6E" w:rsidRDefault="00B72A6E">
      <w:pPr>
        <w:spacing w:before="200" w:after="200"/>
      </w:pPr>
    </w:p>
    <w:p w14:paraId="723326A2" w14:textId="77777777" w:rsidR="00B72A6E" w:rsidRDefault="00B72A6E">
      <w:pPr>
        <w:pBdr>
          <w:bottom w:val="single" w:sz="8" w:space="1" w:color="0D7A6E"/>
        </w:pBdr>
        <w:spacing w:before="160" w:after="160"/>
      </w:pPr>
    </w:p>
    <w:p w14:paraId="2F5E0A44" w14:textId="77777777" w:rsidR="00B72A6E" w:rsidRDefault="00000000">
      <w:pPr>
        <w:spacing w:before="320" w:after="120"/>
      </w:pPr>
      <w:r>
        <w:rPr>
          <w:b/>
          <w:bCs/>
          <w:color w:val="1B3A5C"/>
          <w:sz w:val="34"/>
          <w:szCs w:val="34"/>
        </w:rPr>
        <w:t>SECTION 6 — KEY ASSUMPTIONS &amp; RISK FACTORS</w:t>
      </w:r>
    </w:p>
    <w:p w14:paraId="45BC9E75" w14:textId="77777777" w:rsidR="00B72A6E" w:rsidRDefault="00B72A6E">
      <w:pPr>
        <w:pBdr>
          <w:bottom w:val="single" w:sz="8" w:space="1" w:color="0D7A6E"/>
        </w:pBdr>
        <w:spacing w:before="160" w:after="160"/>
      </w:pPr>
    </w:p>
    <w:p w14:paraId="7017BA7B" w14:textId="77777777" w:rsidR="00B72A6E" w:rsidRDefault="00000000">
      <w:pPr>
        <w:spacing w:before="240" w:after="80"/>
      </w:pPr>
      <w:proofErr w:type="gramStart"/>
      <w:r>
        <w:rPr>
          <w:b/>
          <w:bCs/>
          <w:color w:val="0D7A6E"/>
          <w:sz w:val="26"/>
          <w:szCs w:val="26"/>
        </w:rPr>
        <w:t>6.1  Core</w:t>
      </w:r>
      <w:proofErr w:type="gramEnd"/>
      <w:r>
        <w:rPr>
          <w:b/>
          <w:bCs/>
          <w:color w:val="0D7A6E"/>
          <w:sz w:val="26"/>
          <w:szCs w:val="26"/>
        </w:rPr>
        <w:t xml:space="preserve"> Modeling Assumptions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240"/>
        <w:gridCol w:w="3000"/>
      </w:tblGrid>
      <w:tr w:rsidR="00B72A6E" w14:paraId="50650D2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9E191" w14:textId="77777777" w:rsidR="00B72A6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Assumption</w:t>
            </w:r>
          </w:p>
        </w:tc>
        <w:tc>
          <w:tcPr>
            <w:tcW w:w="324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F4C45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 Used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DCFAD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B72A6E" w14:paraId="2FE1038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7050F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Blended subscription fee (Jordan launch)</w:t>
            </w:r>
          </w:p>
        </w:tc>
        <w:tc>
          <w:tcPr>
            <w:tcW w:w="324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F381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JD 32/month ($45 USD)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F7AA6" w14:textId="77777777" w:rsidR="00B72A6E" w:rsidRDefault="00000000">
            <w:pPr>
              <w:spacing w:before="60" w:after="60"/>
            </w:pPr>
            <w:r>
              <w:rPr>
                <w:sz w:val="17"/>
                <w:szCs w:val="17"/>
              </w:rPr>
              <w:t>40% Starter / 40% Core / 20% Pro distribution; natural tier progression assumed</w:t>
            </w:r>
          </w:p>
        </w:tc>
      </w:tr>
      <w:tr w:rsidR="00B72A6E" w14:paraId="57D15C7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127FC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Churn rate (post-ramp phase)</w:t>
            </w:r>
          </w:p>
        </w:tc>
        <w:tc>
          <w:tcPr>
            <w:tcW w:w="324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7D57F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8–12% annually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65901" w14:textId="77777777" w:rsidR="00B72A6E" w:rsidRDefault="00000000">
            <w:pPr>
              <w:spacing w:before="60" w:after="60"/>
            </w:pPr>
            <w:r>
              <w:rPr>
                <w:sz w:val="17"/>
                <w:szCs w:val="17"/>
              </w:rPr>
              <w:t>Insurance lock-in (3rd-party liability in base tier) creates structural switching cost; Careem Jordan historically had 90%+ retention</w:t>
            </w:r>
          </w:p>
        </w:tc>
      </w:tr>
      <w:tr w:rsidR="00B72A6E" w14:paraId="2EF464F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55105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CAC (Customer Acquisition Cost)</w:t>
            </w:r>
          </w:p>
        </w:tc>
        <w:tc>
          <w:tcPr>
            <w:tcW w:w="324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1F619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$15–25 per driver (Jordan); $20–35 (Iraq/Egypt)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E94A" w14:textId="77777777" w:rsidR="00B72A6E" w:rsidRDefault="00000000">
            <w:pPr>
              <w:spacing w:before="60" w:after="60"/>
            </w:pPr>
            <w:r>
              <w:rPr>
                <w:sz w:val="17"/>
                <w:szCs w:val="17"/>
              </w:rPr>
              <w:t>Referral-heavy growth expected in close-knit driver communities; no rider marketing in Year 1</w:t>
            </w:r>
          </w:p>
        </w:tc>
      </w:tr>
      <w:tr w:rsidR="00B72A6E" w14:paraId="0E163AA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16012" w14:textId="77777777" w:rsidR="00B72A6E" w:rsidRDefault="00000000">
            <w:pPr>
              <w:spacing w:before="60" w:after="60"/>
            </w:pPr>
            <w:proofErr w:type="gramStart"/>
            <w:r>
              <w:rPr>
                <w:sz w:val="18"/>
                <w:szCs w:val="18"/>
              </w:rPr>
              <w:t>LTV:CAC</w:t>
            </w:r>
            <w:proofErr w:type="gramEnd"/>
            <w:r>
              <w:rPr>
                <w:sz w:val="18"/>
                <w:szCs w:val="18"/>
              </w:rPr>
              <w:t xml:space="preserve"> Ratio</w:t>
            </w:r>
          </w:p>
        </w:tc>
        <w:tc>
          <w:tcPr>
            <w:tcW w:w="324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F74CF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13.9x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0F867" w14:textId="77777777" w:rsidR="00B72A6E" w:rsidRDefault="00000000">
            <w:pPr>
              <w:spacing w:before="60" w:after="60"/>
            </w:pPr>
            <w:r>
              <w:rPr>
                <w:sz w:val="17"/>
                <w:szCs w:val="17"/>
              </w:rPr>
              <w:t xml:space="preserve">Per Wasel unit economics model: blended contribution margin / </w:t>
            </w:r>
            <w:proofErr w:type="spellStart"/>
            <w:r>
              <w:rPr>
                <w:sz w:val="17"/>
                <w:szCs w:val="17"/>
              </w:rPr>
              <w:t>mo</w:t>
            </w:r>
            <w:proofErr w:type="spellEnd"/>
            <w:r>
              <w:rPr>
                <w:sz w:val="17"/>
                <w:szCs w:val="17"/>
              </w:rPr>
              <w:t xml:space="preserve"> × avg driver lifespan (months) ÷ </w:t>
            </w:r>
            <w:proofErr w:type="gramStart"/>
            <w:r>
              <w:rPr>
                <w:sz w:val="17"/>
                <w:szCs w:val="17"/>
              </w:rPr>
              <w:t>fully-loaded</w:t>
            </w:r>
            <w:proofErr w:type="gramEnd"/>
            <w:r>
              <w:rPr>
                <w:sz w:val="17"/>
                <w:szCs w:val="17"/>
              </w:rPr>
              <w:t xml:space="preserve"> CAC of JD 45 (~$63 USD)</w:t>
            </w:r>
          </w:p>
        </w:tc>
      </w:tr>
      <w:tr w:rsidR="00B72A6E" w14:paraId="456A009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59541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Jordan license quota (regulatory risk)</w:t>
            </w:r>
          </w:p>
        </w:tc>
        <w:tc>
          <w:tcPr>
            <w:tcW w:w="324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B9E00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11,600 formal vehicles (LTRC cap)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95977" w14:textId="77777777" w:rsidR="00B72A6E" w:rsidRDefault="00000000">
            <w:pPr>
              <w:spacing w:before="60" w:after="60"/>
            </w:pPr>
            <w:r>
              <w:rPr>
                <w:sz w:val="17"/>
                <w:szCs w:val="17"/>
              </w:rPr>
              <w:t xml:space="preserve">Wasel strategy: serve licensed market first; lobby for license </w:t>
            </w:r>
            <w:r>
              <w:rPr>
                <w:sz w:val="17"/>
                <w:szCs w:val="17"/>
              </w:rPr>
              <w:lastRenderedPageBreak/>
              <w:t>expansion; also recruit informal drivers willing to formalize</w:t>
            </w:r>
          </w:p>
        </w:tc>
      </w:tr>
      <w:tr w:rsidR="00B72A6E" w14:paraId="7DDE2C6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6BE2A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lastRenderedPageBreak/>
              <w:t>Exchange rate (JOD/USD)</w:t>
            </w:r>
          </w:p>
        </w:tc>
        <w:tc>
          <w:tcPr>
            <w:tcW w:w="324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A020A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 JOD = $1.41 USD (pegged)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CF6A0" w14:textId="77777777" w:rsidR="00B72A6E" w:rsidRDefault="00000000">
            <w:pPr>
              <w:spacing w:before="60" w:after="60"/>
            </w:pPr>
            <w:r>
              <w:rPr>
                <w:sz w:val="17"/>
                <w:szCs w:val="17"/>
              </w:rPr>
              <w:t>JOD is USD-</w:t>
            </w:r>
            <w:proofErr w:type="gramStart"/>
            <w:r>
              <w:rPr>
                <w:sz w:val="17"/>
                <w:szCs w:val="17"/>
              </w:rPr>
              <w:t>pegged;</w:t>
            </w:r>
            <w:proofErr w:type="gramEnd"/>
            <w:r>
              <w:rPr>
                <w:sz w:val="17"/>
                <w:szCs w:val="17"/>
              </w:rPr>
              <w:t xml:space="preserve"> no FX risk in Jordan. Iraq uses IQD (1 USD ≈ 1,310 IQD). Egypt EGP floated — pricing in EGP with USD floor.</w:t>
            </w:r>
          </w:p>
        </w:tc>
      </w:tr>
      <w:tr w:rsidR="00B72A6E" w14:paraId="40B739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AEBF9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Rider-side growth requirement</w:t>
            </w:r>
          </w:p>
        </w:tc>
        <w:tc>
          <w:tcPr>
            <w:tcW w:w="324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B86E5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Passive initially; co-benefit of driver quality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2FE6C" w14:textId="77777777" w:rsidR="00B72A6E" w:rsidRDefault="00000000">
            <w:pPr>
              <w:spacing w:before="60" w:after="60"/>
            </w:pPr>
            <w:r>
              <w:rPr>
                <w:sz w:val="17"/>
                <w:szCs w:val="17"/>
              </w:rPr>
              <w:t>Wasel’s driver value proposition (savings, insurance) creates more motivated, professional drivers — which organically attracts riders from Uber/Careem</w:t>
            </w:r>
          </w:p>
        </w:tc>
      </w:tr>
    </w:tbl>
    <w:p w14:paraId="50144398" w14:textId="77777777" w:rsidR="00B72A6E" w:rsidRDefault="00B72A6E">
      <w:pPr>
        <w:spacing w:before="160" w:after="160"/>
      </w:pPr>
    </w:p>
    <w:p w14:paraId="34720DF0" w14:textId="77777777" w:rsidR="00B72A6E" w:rsidRDefault="00000000">
      <w:pPr>
        <w:spacing w:before="240" w:after="80"/>
      </w:pPr>
      <w:proofErr w:type="gramStart"/>
      <w:r>
        <w:rPr>
          <w:b/>
          <w:bCs/>
          <w:color w:val="0D7A6E"/>
          <w:sz w:val="26"/>
          <w:szCs w:val="26"/>
        </w:rPr>
        <w:t>6.2  Principal</w:t>
      </w:r>
      <w:proofErr w:type="gramEnd"/>
      <w:r>
        <w:rPr>
          <w:b/>
          <w:bCs/>
          <w:color w:val="0D7A6E"/>
          <w:sz w:val="26"/>
          <w:szCs w:val="26"/>
        </w:rPr>
        <w:t xml:space="preserve"> Risks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5440"/>
      </w:tblGrid>
      <w:tr w:rsidR="00B72A6E" w14:paraId="4D0383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D835C" w14:textId="77777777" w:rsidR="00B72A6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52BB9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544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B471A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</w:tr>
      <w:tr w:rsidR="00B72A6E" w14:paraId="6B318A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FEF93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License quota constraint (Jordan LTRC)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69ED0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CC3300"/>
                <w:sz w:val="18"/>
                <w:szCs w:val="18"/>
              </w:rPr>
              <w:t>HIGH</w:t>
            </w:r>
          </w:p>
        </w:tc>
        <w:tc>
          <w:tcPr>
            <w:tcW w:w="544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7652E" w14:textId="77777777" w:rsidR="00B72A6E" w:rsidRDefault="00000000">
            <w:pPr>
              <w:spacing w:before="60" w:after="60"/>
            </w:pPr>
            <w:r>
              <w:rPr>
                <w:sz w:val="17"/>
                <w:szCs w:val="17"/>
              </w:rPr>
              <w:t>Partner with LTRC to demonstrate formalization of informal drivers; position Wasel as regulatory compliance tool, not competitor to status quo. Target informal drivers first as subscriber base then advocate for their formal license.</w:t>
            </w:r>
          </w:p>
        </w:tc>
      </w:tr>
      <w:tr w:rsidR="00B72A6E" w14:paraId="646456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796D1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Uber/Careem pricing retaliation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1CBC8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CC7700"/>
                <w:sz w:val="18"/>
                <w:szCs w:val="18"/>
              </w:rPr>
              <w:t>MEDIUM</w:t>
            </w:r>
          </w:p>
        </w:tc>
        <w:tc>
          <w:tcPr>
            <w:tcW w:w="544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39B29" w14:textId="77777777" w:rsidR="00B72A6E" w:rsidRDefault="00000000">
            <w:pPr>
              <w:spacing w:before="60" w:after="60"/>
            </w:pPr>
            <w:r>
              <w:rPr>
                <w:sz w:val="17"/>
                <w:szCs w:val="17"/>
              </w:rPr>
              <w:t>Wasel’s fixed-cost model is structurally immune to commission cuts — a race to the bottom on fares only hurts commission platforms more. Insurance bundle creates non-price lock-in.</w:t>
            </w:r>
          </w:p>
        </w:tc>
      </w:tr>
      <w:tr w:rsidR="00B72A6E" w14:paraId="0D5F82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8E87B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Iraq security and infrastructure risk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BB53D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CC7700"/>
                <w:sz w:val="18"/>
                <w:szCs w:val="18"/>
              </w:rPr>
              <w:t>MEDIUM</w:t>
            </w:r>
          </w:p>
        </w:tc>
        <w:tc>
          <w:tcPr>
            <w:tcW w:w="544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4B70E" w14:textId="77777777" w:rsidR="00B72A6E" w:rsidRDefault="00000000">
            <w:pPr>
              <w:spacing w:before="60" w:after="60"/>
            </w:pPr>
            <w:r>
              <w:rPr>
                <w:sz w:val="17"/>
                <w:szCs w:val="17"/>
              </w:rPr>
              <w:t>JV structure with local Iraqi partner absorbs regulatory, security, and operational complexity. Careem’s success in Baghdad, Najaf, Basra, Erbil proves market viability.</w:t>
            </w:r>
          </w:p>
        </w:tc>
      </w:tr>
      <w:tr w:rsidR="00B72A6E" w14:paraId="6E1D13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9AB77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Egypt EGP currency devaluation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3C11C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CC7700"/>
                <w:sz w:val="18"/>
                <w:szCs w:val="18"/>
              </w:rPr>
              <w:t>MEDIUM</w:t>
            </w:r>
          </w:p>
        </w:tc>
        <w:tc>
          <w:tcPr>
            <w:tcW w:w="544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0E4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41095" w14:textId="77777777" w:rsidR="00B72A6E" w:rsidRDefault="00000000">
            <w:pPr>
              <w:spacing w:before="60" w:after="60"/>
            </w:pPr>
            <w:r>
              <w:rPr>
                <w:sz w:val="17"/>
                <w:szCs w:val="17"/>
              </w:rPr>
              <w:t>USD floor pricing for subscriptions. Egypt entry deferred to Year 3+, allowing monitoring of macroeconomic stability.</w:t>
            </w:r>
          </w:p>
        </w:tc>
      </w:tr>
      <w:tr w:rsidR="00B72A6E" w14:paraId="2F8E37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21EDF" w14:textId="77777777" w:rsidR="00B72A6E" w:rsidRDefault="00000000">
            <w:pPr>
              <w:spacing w:before="60" w:after="60"/>
            </w:pPr>
            <w:r>
              <w:rPr>
                <w:sz w:val="18"/>
                <w:szCs w:val="18"/>
              </w:rPr>
              <w:t>Driver supply-demand imbalance at launch</w:t>
            </w:r>
          </w:p>
        </w:tc>
        <w:tc>
          <w:tcPr>
            <w:tcW w:w="1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73EA2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778800"/>
                <w:sz w:val="18"/>
                <w:szCs w:val="18"/>
              </w:rPr>
              <w:t>LOW-MED</w:t>
            </w:r>
          </w:p>
        </w:tc>
        <w:tc>
          <w:tcPr>
            <w:tcW w:w="544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A9CCC" w14:textId="77777777" w:rsidR="00B72A6E" w:rsidRDefault="00000000">
            <w:pPr>
              <w:spacing w:before="60" w:after="60"/>
            </w:pPr>
            <w:r>
              <w:rPr>
                <w:sz w:val="17"/>
                <w:szCs w:val="17"/>
              </w:rPr>
              <w:t>Free trial month + discounted ramp (JD 10/month) onboarding eliminates initial financial barrier. Soft dispatch cap creates natural monetization pressure without hard churn trigger.</w:t>
            </w:r>
          </w:p>
        </w:tc>
      </w:tr>
    </w:tbl>
    <w:p w14:paraId="7DE28147" w14:textId="77777777" w:rsidR="00B72A6E" w:rsidRDefault="00B72A6E">
      <w:pPr>
        <w:spacing w:before="200" w:after="200"/>
      </w:pPr>
    </w:p>
    <w:p w14:paraId="75866A4A" w14:textId="77777777" w:rsidR="00B72A6E" w:rsidRDefault="00B72A6E">
      <w:pPr>
        <w:pBdr>
          <w:bottom w:val="single" w:sz="8" w:space="1" w:color="0D7A6E"/>
        </w:pBdr>
        <w:spacing w:before="160" w:after="160"/>
      </w:pPr>
    </w:p>
    <w:p w14:paraId="40A88F7F" w14:textId="77777777" w:rsidR="00B72A6E" w:rsidRDefault="00000000">
      <w:pPr>
        <w:spacing w:before="320" w:after="120"/>
      </w:pPr>
      <w:r>
        <w:rPr>
          <w:b/>
          <w:bCs/>
          <w:color w:val="1B3A5C"/>
          <w:sz w:val="34"/>
          <w:szCs w:val="34"/>
        </w:rPr>
        <w:t>SECTION 7 — INVESTOR SUMMARY</w:t>
      </w:r>
    </w:p>
    <w:p w14:paraId="1D95C34C" w14:textId="77777777" w:rsidR="00B72A6E" w:rsidRDefault="00B72A6E">
      <w:pPr>
        <w:pBdr>
          <w:bottom w:val="single" w:sz="8" w:space="1" w:color="0D7A6E"/>
        </w:pBdr>
        <w:spacing w:before="160" w:after="16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0"/>
        <w:gridCol w:w="4920"/>
      </w:tblGrid>
      <w:tr w:rsidR="00B72A6E" w14:paraId="13F1599D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  <w:shd w:val="clear" w:color="auto" w:fill="1B3A5C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571EB04" w14:textId="77777777" w:rsidR="00B72A6E" w:rsidRDefault="00000000">
            <w:pPr>
              <w:spacing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>The Market Case for Wasel</w:t>
            </w:r>
          </w:p>
          <w:p w14:paraId="4E51B8F7" w14:textId="77777777" w:rsidR="00B72A6E" w:rsidRDefault="00000000">
            <w:pPr>
              <w:spacing w:after="60"/>
            </w:pPr>
            <w:r>
              <w:rPr>
                <w:color w:val="AACCDD"/>
                <w:sz w:val="18"/>
                <w:szCs w:val="18"/>
              </w:rPr>
              <w:t>•  Jordan, Iraq, and Egypt represent a $2.15B+ gross ride-hailing market growing at 9–14% CAGR</w:t>
            </w:r>
          </w:p>
          <w:p w14:paraId="3031C4A2" w14:textId="77777777" w:rsidR="00B72A6E" w:rsidRDefault="00000000">
            <w:pPr>
              <w:spacing w:after="60"/>
            </w:pPr>
            <w:r>
              <w:rPr>
                <w:color w:val="AACCDD"/>
                <w:sz w:val="18"/>
                <w:szCs w:val="18"/>
              </w:rPr>
              <w:t>•  234,000 addressable ride-hailing drivers collectively pay $280–420M/year to commission platforms</w:t>
            </w:r>
          </w:p>
          <w:p w14:paraId="005139B8" w14:textId="77777777" w:rsidR="00B72A6E" w:rsidRDefault="00000000">
            <w:pPr>
              <w:spacing w:after="60"/>
            </w:pPr>
            <w:r>
              <w:rPr>
                <w:color w:val="AACCDD"/>
                <w:sz w:val="18"/>
                <w:szCs w:val="18"/>
              </w:rPr>
              <w:t>•  Wasel’s subscription TAM: $78M/year (subscriptions alone) — a defensible, low-competition niche within a high-growth macro market</w:t>
            </w:r>
          </w:p>
          <w:p w14:paraId="47200A88" w14:textId="77777777" w:rsidR="00B72A6E" w:rsidRDefault="00000000">
            <w:pPr>
              <w:spacing w:after="60"/>
            </w:pPr>
            <w:r>
              <w:rPr>
                <w:color w:val="AACCDD"/>
                <w:sz w:val="18"/>
                <w:szCs w:val="18"/>
              </w:rPr>
              <w:lastRenderedPageBreak/>
              <w:t xml:space="preserve">•  Break-even at ~1,000–1,200 M2+ drivers (model-validated); 13,966 drivers by Year 5 </w:t>
            </w:r>
            <w:proofErr w:type="gramStart"/>
            <w:r>
              <w:rPr>
                <w:color w:val="AACCDD"/>
                <w:sz w:val="18"/>
                <w:szCs w:val="18"/>
              </w:rPr>
              <w:t>is</w:t>
            </w:r>
            <w:proofErr w:type="gramEnd"/>
            <w:r>
              <w:rPr>
                <w:color w:val="AACCDD"/>
                <w:sz w:val="18"/>
                <w:szCs w:val="18"/>
              </w:rPr>
              <w:t xml:space="preserve"> ~11.8% of combined SAM</w:t>
            </w:r>
          </w:p>
          <w:p w14:paraId="3340D036" w14:textId="77777777" w:rsidR="00B72A6E" w:rsidRDefault="00000000">
            <w:r>
              <w:rPr>
                <w:color w:val="AACCDD"/>
                <w:sz w:val="18"/>
                <w:szCs w:val="18"/>
              </w:rPr>
              <w:t xml:space="preserve">•  </w:t>
            </w:r>
            <w:proofErr w:type="gramStart"/>
            <w:r>
              <w:rPr>
                <w:color w:val="AACCDD"/>
                <w:sz w:val="18"/>
                <w:szCs w:val="18"/>
              </w:rPr>
              <w:t>LTV:CAC</w:t>
            </w:r>
            <w:proofErr w:type="gramEnd"/>
            <w:r>
              <w:rPr>
                <w:color w:val="AACCDD"/>
                <w:sz w:val="18"/>
                <w:szCs w:val="18"/>
              </w:rPr>
              <w:t xml:space="preserve"> of 13.95x with 2.55-month payback and insurance-driven retention moat</w:t>
            </w:r>
          </w:p>
        </w:tc>
        <w:tc>
          <w:tcPr>
            <w:tcW w:w="4920" w:type="dxa"/>
            <w:tcBorders>
              <w:top w:val="nil"/>
              <w:left w:val="nil"/>
              <w:bottom w:val="nil"/>
              <w:right w:val="nil"/>
            </w:tcBorders>
            <w:shd w:val="clear" w:color="auto" w:fill="0D7A6E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8807072" w14:textId="77777777" w:rsidR="00B72A6E" w:rsidRDefault="00000000">
            <w:pPr>
              <w:spacing w:after="80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Why This Market, Why Now</w:t>
            </w:r>
          </w:p>
          <w:p w14:paraId="5266B488" w14:textId="77777777" w:rsidR="00B72A6E" w:rsidRDefault="00000000">
            <w:pPr>
              <w:spacing w:after="60"/>
            </w:pPr>
            <w:r>
              <w:rPr>
                <w:color w:val="CCEEEE"/>
                <w:sz w:val="18"/>
                <w:szCs w:val="18"/>
              </w:rPr>
              <w:t>•  Jordan: 50,000+ unlicensed drivers exist, proving demand outstrips current supply structure</w:t>
            </w:r>
          </w:p>
          <w:p w14:paraId="4928AD8E" w14:textId="77777777" w:rsidR="00B72A6E" w:rsidRDefault="00000000">
            <w:pPr>
              <w:spacing w:after="60"/>
            </w:pPr>
            <w:r>
              <w:rPr>
                <w:color w:val="CCEEEE"/>
                <w:sz w:val="18"/>
                <w:szCs w:val="18"/>
              </w:rPr>
              <w:t>•  Jordan’s official license duopoly (Uber + Careem hold 92% of licenses) leaves a structural opening for a driver-first alternative</w:t>
            </w:r>
          </w:p>
          <w:p w14:paraId="38970CDC" w14:textId="77777777" w:rsidR="00B72A6E" w:rsidRDefault="00000000">
            <w:pPr>
              <w:spacing w:after="60"/>
            </w:pPr>
            <w:r>
              <w:rPr>
                <w:color w:val="CCEEEE"/>
                <w:sz w:val="18"/>
                <w:szCs w:val="18"/>
              </w:rPr>
              <w:t xml:space="preserve">•  Egypt: Bolt’s 2024 launch (with 50% rider discounts + 0% commission) validates driver willingness to switch </w:t>
            </w:r>
            <w:r>
              <w:rPr>
                <w:color w:val="CCEEEE"/>
                <w:sz w:val="18"/>
                <w:szCs w:val="18"/>
              </w:rPr>
              <w:lastRenderedPageBreak/>
              <w:t>— Wasel’s permanent model is structurally superior to Bolt’s promotional entry</w:t>
            </w:r>
          </w:p>
          <w:p w14:paraId="15D51975" w14:textId="77777777" w:rsidR="00B72A6E" w:rsidRDefault="00000000">
            <w:pPr>
              <w:spacing w:after="60"/>
            </w:pPr>
            <w:r>
              <w:rPr>
                <w:color w:val="CCEEEE"/>
                <w:sz w:val="18"/>
                <w:szCs w:val="18"/>
              </w:rPr>
              <w:t xml:space="preserve">•  Iraq: Oil economy </w:t>
            </w:r>
            <w:proofErr w:type="gramStart"/>
            <w:r>
              <w:rPr>
                <w:color w:val="CCEEEE"/>
                <w:sz w:val="18"/>
                <w:szCs w:val="18"/>
              </w:rPr>
              <w:t>rebuild</w:t>
            </w:r>
            <w:proofErr w:type="gramEnd"/>
            <w:r>
              <w:rPr>
                <w:color w:val="CCEEEE"/>
                <w:sz w:val="18"/>
                <w:szCs w:val="18"/>
              </w:rPr>
              <w:t xml:space="preserve"> + youthful population + low penetration = highest growth CAGR in portfolio</w:t>
            </w:r>
          </w:p>
          <w:p w14:paraId="2B3E6690" w14:textId="77777777" w:rsidR="00B72A6E" w:rsidRDefault="00000000">
            <w:r>
              <w:rPr>
                <w:color w:val="CCEEEE"/>
                <w:sz w:val="18"/>
                <w:szCs w:val="18"/>
              </w:rPr>
              <w:t>•  Cash-first infrastructure (65% cash in Jordan) matches Wasel’s model vs Uber/Careem’s digital-first requirement</w:t>
            </w:r>
          </w:p>
        </w:tc>
      </w:tr>
    </w:tbl>
    <w:p w14:paraId="2D079176" w14:textId="77777777" w:rsidR="00B72A6E" w:rsidRDefault="00B72A6E">
      <w:pPr>
        <w:spacing w:before="160" w:after="160"/>
      </w:pPr>
    </w:p>
    <w:p w14:paraId="166422E7" w14:textId="77777777" w:rsidR="00B72A6E" w:rsidRDefault="00000000">
      <w:pPr>
        <w:pBdr>
          <w:top w:val="single" w:sz="4" w:space="8" w:color="0D7A6E"/>
        </w:pBdr>
        <w:spacing w:before="160"/>
        <w:jc w:val="center"/>
      </w:pPr>
      <w:r>
        <w:rPr>
          <w:b/>
          <w:bCs/>
          <w:i/>
          <w:iCs/>
          <w:color w:val="1B3A5C"/>
          <w:sz w:val="21"/>
          <w:szCs w:val="21"/>
        </w:rPr>
        <w:t>Wasel doesn’t compete with Uber on luxury features. It competes on a single, devastating economic proposition: the platform that takes 30% versus the platform that takes $45 flat. In markets where that 30% means the difference between a living wage and poverty — there is no competition.</w:t>
      </w:r>
    </w:p>
    <w:p w14:paraId="1A9BB2E4" w14:textId="77777777" w:rsidR="00B72A6E" w:rsidRDefault="00B72A6E">
      <w:pPr>
        <w:spacing w:before="200" w:after="200"/>
      </w:pPr>
    </w:p>
    <w:p w14:paraId="622A866E" w14:textId="77777777" w:rsidR="00B72A6E" w:rsidRDefault="00B72A6E">
      <w:pPr>
        <w:pBdr>
          <w:bottom w:val="single" w:sz="8" w:space="1" w:color="0D7A6E"/>
        </w:pBdr>
        <w:spacing w:before="160" w:after="160"/>
      </w:pPr>
    </w:p>
    <w:p w14:paraId="14740D3E" w14:textId="77777777" w:rsidR="00B72A6E" w:rsidRDefault="00000000">
      <w:pPr>
        <w:spacing w:before="320" w:after="120"/>
      </w:pPr>
      <w:r>
        <w:rPr>
          <w:b/>
          <w:bCs/>
          <w:color w:val="1B3A5C"/>
          <w:sz w:val="34"/>
          <w:szCs w:val="34"/>
        </w:rPr>
        <w:t>SOURCES &amp; CITATIONS</w:t>
      </w:r>
    </w:p>
    <w:p w14:paraId="432CD0D9" w14:textId="77777777" w:rsidR="00B72A6E" w:rsidRDefault="00B72A6E">
      <w:pPr>
        <w:pBdr>
          <w:bottom w:val="single" w:sz="8" w:space="1" w:color="0D7A6E"/>
        </w:pBdr>
        <w:spacing w:before="160" w:after="16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2969"/>
        <w:gridCol w:w="3442"/>
        <w:gridCol w:w="2988"/>
      </w:tblGrid>
      <w:tr w:rsidR="00B72A6E" w14:paraId="57F58AB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5000E" w14:textId="77777777" w:rsidR="00B72A6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FF027" w14:textId="77777777" w:rsidR="00B72A6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3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CE48E" w14:textId="77777777" w:rsidR="00B72A6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Data Point Used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8F400" w14:textId="77777777" w:rsidR="00B72A6E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Date / URL</w:t>
            </w:r>
          </w:p>
        </w:tc>
      </w:tr>
      <w:tr w:rsidR="00B72A6E" w14:paraId="5B54C54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7DC8A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43AE0" w14:textId="77777777" w:rsidR="00B72A6E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Astute Analytica</w:t>
            </w:r>
          </w:p>
        </w:tc>
        <w:tc>
          <w:tcPr>
            <w:tcW w:w="3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38BAD" w14:textId="77777777" w:rsidR="00B72A6E" w:rsidRDefault="00000000">
            <w:pPr>
              <w:spacing w:before="60" w:after="60"/>
            </w:pPr>
            <w:r>
              <w:rPr>
                <w:sz w:val="17"/>
                <w:szCs w:val="17"/>
              </w:rPr>
              <w:t>Middle East ride-hailing: $4.29B (2023) → $12.40B (2032), CAGR 13.4%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256B1" w14:textId="77777777" w:rsidR="00B72A6E" w:rsidRDefault="00000000">
            <w:pPr>
              <w:spacing w:before="60" w:after="60"/>
            </w:pPr>
            <w:r>
              <w:rPr>
                <w:i/>
                <w:iCs/>
                <w:sz w:val="16"/>
                <w:szCs w:val="16"/>
              </w:rPr>
              <w:t>Jul 2024 — astuteanalytica.com</w:t>
            </w:r>
          </w:p>
        </w:tc>
      </w:tr>
      <w:tr w:rsidR="00B72A6E" w14:paraId="567210D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01951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815F1" w14:textId="77777777" w:rsidR="00B72A6E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Grand View Research</w:t>
            </w:r>
          </w:p>
        </w:tc>
        <w:tc>
          <w:tcPr>
            <w:tcW w:w="3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E6609" w14:textId="77777777" w:rsidR="00B72A6E" w:rsidRDefault="00000000">
            <w:pPr>
              <w:spacing w:before="60" w:after="60"/>
            </w:pPr>
            <w:r>
              <w:rPr>
                <w:sz w:val="17"/>
                <w:szCs w:val="17"/>
              </w:rPr>
              <w:t>Egypt market: $1.84B (2024) → $3.61B (2030), CAGR 11.4%; e-hailing fastest at 14.1%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D5CE7" w14:textId="77777777" w:rsidR="00B72A6E" w:rsidRDefault="00000000">
            <w:pPr>
              <w:spacing w:before="60" w:after="60"/>
            </w:pPr>
            <w:r>
              <w:rPr>
                <w:i/>
                <w:iCs/>
                <w:sz w:val="16"/>
                <w:szCs w:val="16"/>
              </w:rPr>
              <w:t>2024–2025 — grandviewresearch.com</w:t>
            </w:r>
          </w:p>
        </w:tc>
      </w:tr>
      <w:tr w:rsidR="00B72A6E" w14:paraId="5F0474A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DCD5E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C7C3E" w14:textId="77777777" w:rsidR="00B72A6E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Statista Market Forecast</w:t>
            </w:r>
          </w:p>
        </w:tc>
        <w:tc>
          <w:tcPr>
            <w:tcW w:w="3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74259" w14:textId="77777777" w:rsidR="00B72A6E" w:rsidRDefault="00000000">
            <w:pPr>
              <w:spacing w:before="60" w:after="60"/>
            </w:pPr>
            <w:r>
              <w:rPr>
                <w:sz w:val="17"/>
                <w:szCs w:val="17"/>
              </w:rPr>
              <w:t>Jordan: $60–75M by 2029 (5.22% CAGR); Iraq: $143M by 2029 (5.1%); Egypt: $527M by 2029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9126C" w14:textId="77777777" w:rsidR="00B72A6E" w:rsidRDefault="00000000">
            <w:pPr>
              <w:spacing w:before="60" w:after="60"/>
            </w:pPr>
            <w:r>
              <w:rPr>
                <w:i/>
                <w:iCs/>
                <w:sz w:val="16"/>
                <w:szCs w:val="16"/>
              </w:rPr>
              <w:t>2024–2025 — statista.com</w:t>
            </w:r>
          </w:p>
        </w:tc>
      </w:tr>
      <w:tr w:rsidR="00B72A6E" w14:paraId="636D40D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C1195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B5A5F" w14:textId="77777777" w:rsidR="00B72A6E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Cognitive Market Research</w:t>
            </w:r>
          </w:p>
        </w:tc>
        <w:tc>
          <w:tcPr>
            <w:tcW w:w="3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6AECD" w14:textId="77777777" w:rsidR="00B72A6E" w:rsidRDefault="00000000">
            <w:pPr>
              <w:spacing w:before="60" w:after="60"/>
            </w:pPr>
            <w:r>
              <w:rPr>
                <w:sz w:val="17"/>
                <w:szCs w:val="17"/>
              </w:rPr>
              <w:t>MEA ride-hailing: $3.83B (2024), CAGR 8.7%; GCC: $1.64B; Egypt: $402M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CC278" w14:textId="77777777" w:rsidR="00B72A6E" w:rsidRDefault="00000000">
            <w:pPr>
              <w:spacing w:before="60" w:after="60"/>
            </w:pPr>
            <w:r>
              <w:rPr>
                <w:i/>
                <w:iCs/>
                <w:sz w:val="16"/>
                <w:szCs w:val="16"/>
              </w:rPr>
              <w:t>Oct 2025 — cognitivemarketresearch.com</w:t>
            </w:r>
          </w:p>
        </w:tc>
      </w:tr>
      <w:tr w:rsidR="00B72A6E" w14:paraId="36710C0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CA036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B355A" w14:textId="77777777" w:rsidR="00B72A6E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Research &amp; Markets</w:t>
            </w:r>
          </w:p>
        </w:tc>
        <w:tc>
          <w:tcPr>
            <w:tcW w:w="3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A693A" w14:textId="77777777" w:rsidR="00B72A6E" w:rsidRDefault="00000000">
            <w:pPr>
              <w:spacing w:before="60" w:after="60"/>
            </w:pPr>
            <w:r>
              <w:rPr>
                <w:sz w:val="17"/>
                <w:szCs w:val="17"/>
              </w:rPr>
              <w:t>Global: $150.35B (2024) → $163.55B (2025), CAGR 8.8%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3C45D" w14:textId="77777777" w:rsidR="00B72A6E" w:rsidRDefault="00000000">
            <w:pPr>
              <w:spacing w:before="60" w:after="60"/>
            </w:pPr>
            <w:r>
              <w:rPr>
                <w:i/>
                <w:iCs/>
                <w:sz w:val="16"/>
                <w:szCs w:val="16"/>
              </w:rPr>
              <w:t>2025 — researchandmarkets.com</w:t>
            </w:r>
          </w:p>
        </w:tc>
      </w:tr>
      <w:tr w:rsidR="00B72A6E" w14:paraId="0DAA702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69BF8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A3A82" w14:textId="77777777" w:rsidR="00B72A6E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ARIJ (Arab Reporters for Investigative Journalism)</w:t>
            </w:r>
          </w:p>
        </w:tc>
        <w:tc>
          <w:tcPr>
            <w:tcW w:w="3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356A8" w14:textId="77777777" w:rsidR="00B72A6E" w:rsidRDefault="00000000">
            <w:pPr>
              <w:spacing w:before="60" w:after="60"/>
            </w:pPr>
            <w:r>
              <w:rPr>
                <w:sz w:val="17"/>
                <w:szCs w:val="17"/>
              </w:rPr>
              <w:t>Jordan: 11,600 licensed vehicles; 50,000+ unlicensed drivers; license duopoly (</w:t>
            </w:r>
            <w:proofErr w:type="spellStart"/>
            <w:r>
              <w:rPr>
                <w:sz w:val="17"/>
                <w:szCs w:val="17"/>
              </w:rPr>
              <w:t>Uber+Careem</w:t>
            </w:r>
            <w:proofErr w:type="spellEnd"/>
            <w:r>
              <w:rPr>
                <w:sz w:val="17"/>
                <w:szCs w:val="17"/>
              </w:rPr>
              <w:t xml:space="preserve"> = 12,000)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0452D" w14:textId="77777777" w:rsidR="00B72A6E" w:rsidRDefault="00000000">
            <w:pPr>
              <w:spacing w:before="60" w:after="60"/>
            </w:pPr>
            <w:r>
              <w:rPr>
                <w:i/>
                <w:iCs/>
                <w:sz w:val="16"/>
                <w:szCs w:val="16"/>
              </w:rPr>
              <w:t>Nov 2025 — en.arij.net</w:t>
            </w:r>
          </w:p>
        </w:tc>
      </w:tr>
      <w:tr w:rsidR="00B72A6E" w14:paraId="4F3FD28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DEA86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B0CC4" w14:textId="77777777" w:rsidR="00B72A6E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POMEPS (Project on Middle East Political Science)</w:t>
            </w:r>
          </w:p>
        </w:tc>
        <w:tc>
          <w:tcPr>
            <w:tcW w:w="3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59F3B" w14:textId="77777777" w:rsidR="00B72A6E" w:rsidRDefault="00000000">
            <w:pPr>
              <w:spacing w:before="60" w:after="60"/>
            </w:pPr>
            <w:r>
              <w:rPr>
                <w:sz w:val="17"/>
                <w:szCs w:val="17"/>
              </w:rPr>
              <w:t>Jordan: 11,000 Careem drivers (2018); 5,500 mid-2019; 90%+ retention; driver earnings JD 560/month (part-time)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A8727" w14:textId="77777777" w:rsidR="00B72A6E" w:rsidRDefault="00000000">
            <w:pPr>
              <w:spacing w:before="60" w:after="60"/>
            </w:pPr>
            <w:r>
              <w:rPr>
                <w:i/>
                <w:iCs/>
                <w:sz w:val="16"/>
                <w:szCs w:val="16"/>
              </w:rPr>
              <w:t>Jan 2022 — pomeps.org</w:t>
            </w:r>
          </w:p>
        </w:tc>
      </w:tr>
      <w:tr w:rsidR="00B72A6E" w14:paraId="2E2C6A0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BC248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92410" w14:textId="77777777" w:rsidR="00B72A6E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Careem (official)</w:t>
            </w:r>
          </w:p>
        </w:tc>
        <w:tc>
          <w:tcPr>
            <w:tcW w:w="3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966D5" w14:textId="77777777" w:rsidR="00B72A6E" w:rsidRDefault="00000000">
            <w:pPr>
              <w:spacing w:before="60" w:after="60"/>
            </w:pPr>
            <w:r>
              <w:rPr>
                <w:sz w:val="17"/>
                <w:szCs w:val="17"/>
              </w:rPr>
              <w:t>Iraq operations: Baghdad, Najaf, Basra, Erbil; goal of 10,000+ jobs in Basra alone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ADE3C" w14:textId="77777777" w:rsidR="00B72A6E" w:rsidRDefault="00000000">
            <w:pPr>
              <w:spacing w:before="60" w:after="60"/>
            </w:pPr>
            <w:r>
              <w:rPr>
                <w:i/>
                <w:iCs/>
                <w:sz w:val="16"/>
                <w:szCs w:val="16"/>
              </w:rPr>
              <w:t>2024 — careem.com/</w:t>
            </w:r>
            <w:proofErr w:type="spellStart"/>
            <w:r>
              <w:rPr>
                <w:i/>
                <w:iCs/>
                <w:sz w:val="16"/>
                <w:szCs w:val="16"/>
              </w:rPr>
              <w:t>iraq</w:t>
            </w:r>
            <w:proofErr w:type="spellEnd"/>
            <w:r>
              <w:rPr>
                <w:i/>
                <w:iCs/>
                <w:sz w:val="16"/>
                <w:szCs w:val="16"/>
              </w:rPr>
              <w:t>-rides</w:t>
            </w:r>
          </w:p>
        </w:tc>
      </w:tr>
      <w:tr w:rsidR="00B72A6E" w14:paraId="663AC92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B89C4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1297F" w14:textId="77777777" w:rsidR="00B72A6E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Industry Research Biz</w:t>
            </w:r>
          </w:p>
        </w:tc>
        <w:tc>
          <w:tcPr>
            <w:tcW w:w="3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1F2BC" w14:textId="77777777" w:rsidR="00B72A6E" w:rsidRDefault="00000000">
            <w:pPr>
              <w:spacing w:before="60" w:after="60"/>
            </w:pPr>
            <w:r>
              <w:rPr>
                <w:sz w:val="17"/>
                <w:szCs w:val="17"/>
              </w:rPr>
              <w:t>MEA: $16B (2025 alt. estimate); Egypt: $1.92B (2025)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9EB0B" w14:textId="77777777" w:rsidR="00B72A6E" w:rsidRDefault="00000000">
            <w:pPr>
              <w:spacing w:before="60" w:after="60"/>
            </w:pPr>
            <w:r>
              <w:rPr>
                <w:i/>
                <w:iCs/>
                <w:sz w:val="16"/>
                <w:szCs w:val="16"/>
              </w:rPr>
              <w:t>2025 — industryresearch.biz</w:t>
            </w:r>
          </w:p>
        </w:tc>
      </w:tr>
      <w:tr w:rsidR="00B72A6E" w14:paraId="4D83F82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4CEC9" w14:textId="77777777" w:rsidR="00B72A6E" w:rsidRDefault="00000000">
            <w:pPr>
              <w:spacing w:before="60" w:after="60"/>
              <w:jc w:val="center"/>
            </w:pPr>
            <w:r>
              <w:rPr>
                <w:sz w:val="18"/>
                <w:szCs w:val="18"/>
              </w:rPr>
              <w:lastRenderedPageBreak/>
              <w:t>10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DF680" w14:textId="77777777" w:rsidR="00B72A6E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Wikipedia / Careem</w:t>
            </w:r>
          </w:p>
        </w:tc>
        <w:tc>
          <w:tcPr>
            <w:tcW w:w="3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63B2E" w14:textId="77777777" w:rsidR="00B72A6E" w:rsidRDefault="00000000">
            <w:pPr>
              <w:spacing w:before="60" w:after="60"/>
            </w:pPr>
            <w:r>
              <w:rPr>
                <w:sz w:val="17"/>
                <w:szCs w:val="17"/>
              </w:rPr>
              <w:t>Uber acquired Careem ($3.1B, 2019); e&amp; acquired Careem Super App (2023, $400M); EV fleet Jordan (45% in Irbil, 2023)</w:t>
            </w:r>
          </w:p>
        </w:tc>
        <w:tc>
          <w:tcPr>
            <w:tcW w:w="3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933C6" w14:textId="77777777" w:rsidR="00B72A6E" w:rsidRDefault="00000000">
            <w:pPr>
              <w:spacing w:before="60" w:after="60"/>
            </w:pPr>
            <w:r>
              <w:rPr>
                <w:i/>
                <w:iCs/>
                <w:sz w:val="16"/>
                <w:szCs w:val="16"/>
              </w:rPr>
              <w:t>2024 — en.wikipedia.org/wiki/Careem</w:t>
            </w:r>
          </w:p>
        </w:tc>
      </w:tr>
    </w:tbl>
    <w:p w14:paraId="5AD436CD" w14:textId="77777777" w:rsidR="00B72A6E" w:rsidRDefault="00B72A6E">
      <w:pPr>
        <w:spacing w:before="80" w:after="80"/>
      </w:pPr>
    </w:p>
    <w:p w14:paraId="1A47449F" w14:textId="77777777" w:rsidR="00B72A6E" w:rsidRDefault="00000000">
      <w:pPr>
        <w:spacing w:before="160"/>
        <w:jc w:val="center"/>
      </w:pPr>
      <w:r>
        <w:rPr>
          <w:color w:val="999999"/>
          <w:sz w:val="17"/>
          <w:szCs w:val="17"/>
        </w:rPr>
        <w:t xml:space="preserve">Prepared for investor and board </w:t>
      </w:r>
      <w:proofErr w:type="gramStart"/>
      <w:r>
        <w:rPr>
          <w:color w:val="999999"/>
          <w:sz w:val="17"/>
          <w:szCs w:val="17"/>
        </w:rPr>
        <w:t>use  •</w:t>
      </w:r>
      <w:proofErr w:type="gramEnd"/>
      <w:r>
        <w:rPr>
          <w:color w:val="999999"/>
          <w:sz w:val="17"/>
          <w:szCs w:val="17"/>
        </w:rPr>
        <w:t xml:space="preserve">  </w:t>
      </w:r>
      <w:proofErr w:type="gramStart"/>
      <w:r>
        <w:rPr>
          <w:color w:val="999999"/>
          <w:sz w:val="17"/>
          <w:szCs w:val="17"/>
        </w:rPr>
        <w:t>Wasel  •</w:t>
      </w:r>
      <w:proofErr w:type="gramEnd"/>
      <w:r>
        <w:rPr>
          <w:color w:val="999999"/>
          <w:sz w:val="17"/>
          <w:szCs w:val="17"/>
        </w:rPr>
        <w:t xml:space="preserve">  February </w:t>
      </w:r>
      <w:proofErr w:type="gramStart"/>
      <w:r>
        <w:rPr>
          <w:color w:val="999999"/>
          <w:sz w:val="17"/>
          <w:szCs w:val="17"/>
        </w:rPr>
        <w:t>2026  •</w:t>
      </w:r>
      <w:proofErr w:type="gramEnd"/>
      <w:r>
        <w:rPr>
          <w:color w:val="999999"/>
          <w:sz w:val="17"/>
          <w:szCs w:val="17"/>
        </w:rPr>
        <w:t xml:space="preserve">  Confidential</w:t>
      </w:r>
    </w:p>
    <w:sectPr w:rsidR="00B72A6E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A2423"/>
    <w:multiLevelType w:val="hybridMultilevel"/>
    <w:tmpl w:val="0220BD3E"/>
    <w:lvl w:ilvl="0" w:tplc="8C587F5C">
      <w:start w:val="1"/>
      <w:numFmt w:val="bullet"/>
      <w:lvlText w:val="●"/>
      <w:lvlJc w:val="left"/>
      <w:pPr>
        <w:ind w:left="720" w:hanging="360"/>
      </w:pPr>
    </w:lvl>
    <w:lvl w:ilvl="1" w:tplc="93D4D5A0">
      <w:start w:val="1"/>
      <w:numFmt w:val="bullet"/>
      <w:lvlText w:val="○"/>
      <w:lvlJc w:val="left"/>
      <w:pPr>
        <w:ind w:left="1440" w:hanging="360"/>
      </w:pPr>
    </w:lvl>
    <w:lvl w:ilvl="2" w:tplc="D6984836">
      <w:start w:val="1"/>
      <w:numFmt w:val="bullet"/>
      <w:lvlText w:val="■"/>
      <w:lvlJc w:val="left"/>
      <w:pPr>
        <w:ind w:left="2160" w:hanging="360"/>
      </w:pPr>
    </w:lvl>
    <w:lvl w:ilvl="3" w:tplc="C8AAC314">
      <w:start w:val="1"/>
      <w:numFmt w:val="bullet"/>
      <w:lvlText w:val="●"/>
      <w:lvlJc w:val="left"/>
      <w:pPr>
        <w:ind w:left="2880" w:hanging="360"/>
      </w:pPr>
    </w:lvl>
    <w:lvl w:ilvl="4" w:tplc="5D945AFC">
      <w:start w:val="1"/>
      <w:numFmt w:val="bullet"/>
      <w:lvlText w:val="○"/>
      <w:lvlJc w:val="left"/>
      <w:pPr>
        <w:ind w:left="3600" w:hanging="360"/>
      </w:pPr>
    </w:lvl>
    <w:lvl w:ilvl="5" w:tplc="1386730C">
      <w:start w:val="1"/>
      <w:numFmt w:val="bullet"/>
      <w:lvlText w:val="■"/>
      <w:lvlJc w:val="left"/>
      <w:pPr>
        <w:ind w:left="4320" w:hanging="360"/>
      </w:pPr>
    </w:lvl>
    <w:lvl w:ilvl="6" w:tplc="F47CE670">
      <w:start w:val="1"/>
      <w:numFmt w:val="bullet"/>
      <w:lvlText w:val="●"/>
      <w:lvlJc w:val="left"/>
      <w:pPr>
        <w:ind w:left="5040" w:hanging="360"/>
      </w:pPr>
    </w:lvl>
    <w:lvl w:ilvl="7" w:tplc="1C7C3334">
      <w:start w:val="1"/>
      <w:numFmt w:val="bullet"/>
      <w:lvlText w:val="●"/>
      <w:lvlJc w:val="left"/>
      <w:pPr>
        <w:ind w:left="5760" w:hanging="360"/>
      </w:pPr>
    </w:lvl>
    <w:lvl w:ilvl="8" w:tplc="C3DAF4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DA64B4"/>
    <w:multiLevelType w:val="hybridMultilevel"/>
    <w:tmpl w:val="58E6D45E"/>
    <w:lvl w:ilvl="0" w:tplc="D53CF658">
      <w:start w:val="1"/>
      <w:numFmt w:val="bullet"/>
      <w:lvlText w:val="◦"/>
      <w:lvlJc w:val="left"/>
      <w:pPr>
        <w:ind w:left="1080" w:hanging="360"/>
      </w:pPr>
    </w:lvl>
    <w:lvl w:ilvl="1" w:tplc="12F81A04">
      <w:numFmt w:val="decimal"/>
      <w:lvlText w:val=""/>
      <w:lvlJc w:val="left"/>
    </w:lvl>
    <w:lvl w:ilvl="2" w:tplc="8B409072">
      <w:numFmt w:val="decimal"/>
      <w:lvlText w:val=""/>
      <w:lvlJc w:val="left"/>
    </w:lvl>
    <w:lvl w:ilvl="3" w:tplc="F322FE4A">
      <w:numFmt w:val="decimal"/>
      <w:lvlText w:val=""/>
      <w:lvlJc w:val="left"/>
    </w:lvl>
    <w:lvl w:ilvl="4" w:tplc="F9EEC232">
      <w:numFmt w:val="decimal"/>
      <w:lvlText w:val=""/>
      <w:lvlJc w:val="left"/>
    </w:lvl>
    <w:lvl w:ilvl="5" w:tplc="9FBA3FEC">
      <w:numFmt w:val="decimal"/>
      <w:lvlText w:val=""/>
      <w:lvlJc w:val="left"/>
    </w:lvl>
    <w:lvl w:ilvl="6" w:tplc="964C8CC6">
      <w:numFmt w:val="decimal"/>
      <w:lvlText w:val=""/>
      <w:lvlJc w:val="left"/>
    </w:lvl>
    <w:lvl w:ilvl="7" w:tplc="02CA78C8">
      <w:numFmt w:val="decimal"/>
      <w:lvlText w:val=""/>
      <w:lvlJc w:val="left"/>
    </w:lvl>
    <w:lvl w:ilvl="8" w:tplc="090EA91C">
      <w:numFmt w:val="decimal"/>
      <w:lvlText w:val=""/>
      <w:lvlJc w:val="left"/>
    </w:lvl>
  </w:abstractNum>
  <w:abstractNum w:abstractNumId="2" w15:restartNumberingAfterBreak="0">
    <w:nsid w:val="6A88245C"/>
    <w:multiLevelType w:val="hybridMultilevel"/>
    <w:tmpl w:val="0E5AD5FE"/>
    <w:lvl w:ilvl="0" w:tplc="F782C106">
      <w:start w:val="1"/>
      <w:numFmt w:val="bullet"/>
      <w:lvlText w:val="•"/>
      <w:lvlJc w:val="left"/>
      <w:pPr>
        <w:ind w:left="720" w:hanging="360"/>
      </w:pPr>
    </w:lvl>
    <w:lvl w:ilvl="1" w:tplc="9CE6AE92">
      <w:numFmt w:val="decimal"/>
      <w:lvlText w:val=""/>
      <w:lvlJc w:val="left"/>
    </w:lvl>
    <w:lvl w:ilvl="2" w:tplc="AFD28856">
      <w:numFmt w:val="decimal"/>
      <w:lvlText w:val=""/>
      <w:lvlJc w:val="left"/>
    </w:lvl>
    <w:lvl w:ilvl="3" w:tplc="F21CC08E">
      <w:numFmt w:val="decimal"/>
      <w:lvlText w:val=""/>
      <w:lvlJc w:val="left"/>
    </w:lvl>
    <w:lvl w:ilvl="4" w:tplc="A672E4CC">
      <w:numFmt w:val="decimal"/>
      <w:lvlText w:val=""/>
      <w:lvlJc w:val="left"/>
    </w:lvl>
    <w:lvl w:ilvl="5" w:tplc="EC9CD820">
      <w:numFmt w:val="decimal"/>
      <w:lvlText w:val=""/>
      <w:lvlJc w:val="left"/>
    </w:lvl>
    <w:lvl w:ilvl="6" w:tplc="D19A79F6">
      <w:numFmt w:val="decimal"/>
      <w:lvlText w:val=""/>
      <w:lvlJc w:val="left"/>
    </w:lvl>
    <w:lvl w:ilvl="7" w:tplc="4AA2BCE4">
      <w:numFmt w:val="decimal"/>
      <w:lvlText w:val=""/>
      <w:lvlJc w:val="left"/>
    </w:lvl>
    <w:lvl w:ilvl="8" w:tplc="F38610E8">
      <w:numFmt w:val="decimal"/>
      <w:lvlText w:val=""/>
      <w:lvlJc w:val="left"/>
    </w:lvl>
  </w:abstractNum>
  <w:num w:numId="1" w16cid:durableId="6120573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A6E"/>
    <w:rsid w:val="00177822"/>
    <w:rsid w:val="006A101F"/>
    <w:rsid w:val="00B72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26ED01"/>
  <w15:docId w15:val="{A3E7FA3E-13AF-3E44-85BC-59592D340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2495</Words>
  <Characters>14599</Characters>
  <Application>Microsoft Office Word</Application>
  <DocSecurity>0</DocSecurity>
  <Lines>811</Lines>
  <Paragraphs>488</Paragraphs>
  <ScaleCrop>false</ScaleCrop>
  <Company/>
  <LinksUpToDate>false</LinksUpToDate>
  <CharactersWithSpaces>16606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Rad Al Zubi</cp:lastModifiedBy>
  <cp:revision>3</cp:revision>
  <dcterms:created xsi:type="dcterms:W3CDTF">2026-02-18T21:53:00Z</dcterms:created>
  <dcterms:modified xsi:type="dcterms:W3CDTF">2026-02-18T21:54:00Z</dcterms:modified>
</cp:coreProperties>
</file>