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0D1B2A"/>
          <w:sz w:val="96"/>
        </w:rPr>
        <w:t>WASEL</w:t>
      </w:r>
    </w:p>
    <w:p>
      <w:pPr>
        <w:jc w:val="center"/>
      </w:pPr>
      <w:r>
        <w:rPr>
          <w:b/>
          <w:color w:val="177EA1"/>
          <w:sz w:val="36"/>
        </w:rPr>
        <w:t>RIDER ACQUISITION &amp; RETENTION STRATEGY</w:t>
      </w:r>
    </w:p>
    <w:p>
      <w:pPr>
        <w:spacing w:before="80" w:after="80"/>
        <w:pBdr>
          <w:bottom w:val="single" w:sz="6" w:space="1" w:color="177EA1"/>
        </w:pBdr>
      </w:pPr>
    </w:p>
    <w:p>
      <w:pPr>
        <w:jc w:val="center"/>
      </w:pPr>
      <w:r>
        <w:rPr>
          <w:i/>
          <w:color w:val="E56B1F"/>
          <w:sz w:val="22"/>
        </w:rPr>
        <w:t>Structurally Grounded · Behaviorally Engineered · Financially Modeled</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tcPr>
          <w:p>
            <w:r>
              <w:rPr>
                <w:b/>
                <w:color w:val="FFFFFF"/>
                <w:sz w:val="22"/>
              </w:rPr>
              <w:t>01</w:t>
            </w:r>
          </w:p>
        </w:tc>
        <w:tc>
          <w:tcPr>
            <w:tcW w:type="dxa" w:w="3120"/>
            <w:shd w:val="clear" w:color="auto" w:fill="0D1B2A"/>
          </w:tcPr>
          <w:p>
            <w:r>
              <w:rPr>
                <w:b/>
                <w:color w:val="FFFFFF"/>
                <w:sz w:val="20"/>
              </w:rPr>
              <w:t>Core Rider Value Thesis</w:t>
            </w:r>
          </w:p>
        </w:tc>
        <w:tc>
          <w:tcPr>
            <w:tcW w:type="dxa" w:w="3120"/>
            <w:shd w:val="clear" w:color="auto" w:fill="0D1B2A"/>
          </w:tcPr>
          <w:p>
            <w:r>
              <w:rPr>
                <w:i/>
                <w:color w:val="FFFFFF"/>
                <w:sz w:val="18"/>
              </w:rPr>
              <w:t>Pain point taxonomy, frequency × monetization matrix</w:t>
            </w:r>
          </w:p>
        </w:tc>
      </w:tr>
      <w:tr>
        <w:tc>
          <w:tcPr>
            <w:tcW w:type="dxa" w:w="3120"/>
            <w:shd w:val="clear" w:color="auto" w:fill="F4F6F7"/>
          </w:tcPr>
          <w:p>
            <w:r>
              <w:rPr>
                <w:b/>
                <w:color w:val="E56B1F"/>
                <w:sz w:val="22"/>
              </w:rPr>
              <w:t>02</w:t>
            </w:r>
          </w:p>
        </w:tc>
        <w:tc>
          <w:tcPr>
            <w:tcW w:type="dxa" w:w="3120"/>
            <w:shd w:val="clear" w:color="auto" w:fill="F4F6F7"/>
          </w:tcPr>
          <w:p>
            <w:r>
              <w:rPr>
                <w:b/>
                <w:color w:val="0D1B2A"/>
                <w:sz w:val="20"/>
              </w:rPr>
              <w:t>Product-Level Differentiation</w:t>
            </w:r>
          </w:p>
        </w:tc>
        <w:tc>
          <w:tcPr>
            <w:tcW w:type="dxa" w:w="3120"/>
            <w:shd w:val="clear" w:color="auto" w:fill="F4F6F7"/>
          </w:tcPr>
          <w:p>
            <w:r>
              <w:rPr>
                <w:i/>
                <w:color w:val="0D1B2A"/>
                <w:sz w:val="18"/>
              </w:rPr>
              <w:t>Features, pricing psychology, behavioral hooks, loyalty, risk reversal</w:t>
            </w:r>
          </w:p>
        </w:tc>
      </w:tr>
      <w:tr>
        <w:tc>
          <w:tcPr>
            <w:tcW w:type="dxa" w:w="3120"/>
            <w:shd w:val="clear" w:color="auto" w:fill="EBF5FB"/>
          </w:tcPr>
          <w:p>
            <w:r>
              <w:rPr>
                <w:b/>
                <w:color w:val="E56B1F"/>
                <w:sz w:val="22"/>
              </w:rPr>
              <w:t>03</w:t>
            </w:r>
          </w:p>
        </w:tc>
        <w:tc>
          <w:tcPr>
            <w:tcW w:type="dxa" w:w="3120"/>
            <w:shd w:val="clear" w:color="auto" w:fill="EBF5FB"/>
          </w:tcPr>
          <w:p>
            <w:r>
              <w:rPr>
                <w:b/>
                <w:color w:val="0D1B2A"/>
                <w:sz w:val="20"/>
              </w:rPr>
              <w:t>Pricing Strategy</w:t>
            </w:r>
          </w:p>
        </w:tc>
        <w:tc>
          <w:tcPr>
            <w:tcW w:type="dxa" w:w="3120"/>
            <w:shd w:val="clear" w:color="auto" w:fill="EBF5FB"/>
          </w:tcPr>
          <w:p>
            <w:r>
              <w:rPr>
                <w:i/>
                <w:color w:val="0D1B2A"/>
                <w:sz w:val="18"/>
              </w:rPr>
              <w:t>3 frameworks: Dynamic · Predictable · Subscription-Hybrid</w:t>
            </w:r>
          </w:p>
        </w:tc>
      </w:tr>
      <w:tr>
        <w:tc>
          <w:tcPr>
            <w:tcW w:type="dxa" w:w="3120"/>
            <w:shd w:val="clear" w:color="auto" w:fill="F4F6F7"/>
          </w:tcPr>
          <w:p>
            <w:r>
              <w:rPr>
                <w:b/>
                <w:color w:val="E56B1F"/>
                <w:sz w:val="22"/>
              </w:rPr>
              <w:t>04</w:t>
            </w:r>
          </w:p>
        </w:tc>
        <w:tc>
          <w:tcPr>
            <w:tcW w:type="dxa" w:w="3120"/>
            <w:shd w:val="clear" w:color="auto" w:fill="F4F6F7"/>
          </w:tcPr>
          <w:p>
            <w:r>
              <w:rPr>
                <w:b/>
                <w:color w:val="0D1B2A"/>
                <w:sz w:val="20"/>
              </w:rPr>
              <w:t>Retention Engineering</w:t>
            </w:r>
          </w:p>
        </w:tc>
        <w:tc>
          <w:tcPr>
            <w:tcW w:type="dxa" w:w="3120"/>
            <w:shd w:val="clear" w:color="auto" w:fill="F4F6F7"/>
          </w:tcPr>
          <w:p>
            <w:r>
              <w:rPr>
                <w:i/>
                <w:color w:val="0D1B2A"/>
                <w:sz w:val="18"/>
              </w:rPr>
              <w:t>Week 1 → Month 1 → Long-term switching cost architecture</w:t>
            </w:r>
          </w:p>
        </w:tc>
      </w:tr>
      <w:tr>
        <w:tc>
          <w:tcPr>
            <w:tcW w:type="dxa" w:w="3120"/>
            <w:shd w:val="clear" w:color="auto" w:fill="EBF5FB"/>
          </w:tcPr>
          <w:p>
            <w:r>
              <w:rPr>
                <w:b/>
                <w:color w:val="E56B1F"/>
                <w:sz w:val="22"/>
              </w:rPr>
              <w:t>05</w:t>
            </w:r>
          </w:p>
        </w:tc>
        <w:tc>
          <w:tcPr>
            <w:tcW w:type="dxa" w:w="3120"/>
            <w:shd w:val="clear" w:color="auto" w:fill="EBF5FB"/>
          </w:tcPr>
          <w:p>
            <w:r>
              <w:rPr>
                <w:b/>
                <w:color w:val="0D1B2A"/>
                <w:sz w:val="20"/>
              </w:rPr>
              <w:t>Economic Modeling Adjustments</w:t>
            </w:r>
          </w:p>
        </w:tc>
        <w:tc>
          <w:tcPr>
            <w:tcW w:type="dxa" w:w="3120"/>
            <w:shd w:val="clear" w:color="auto" w:fill="EBF5FB"/>
          </w:tcPr>
          <w:p>
            <w:r>
              <w:rPr>
                <w:i/>
                <w:color w:val="0D1B2A"/>
                <w:sz w:val="18"/>
              </w:rPr>
              <w:t>CAC, LTV, surge sensitivity, subscription volatility buffer</w:t>
            </w:r>
          </w:p>
        </w:tc>
      </w:tr>
      <w:tr>
        <w:tc>
          <w:tcPr>
            <w:tcW w:type="dxa" w:w="3120"/>
            <w:shd w:val="clear" w:color="auto" w:fill="F4F6F7"/>
          </w:tcPr>
          <w:p>
            <w:r>
              <w:rPr>
                <w:b/>
                <w:color w:val="E56B1F"/>
                <w:sz w:val="22"/>
              </w:rPr>
              <w:t>06</w:t>
            </w:r>
          </w:p>
        </w:tc>
        <w:tc>
          <w:tcPr>
            <w:tcW w:type="dxa" w:w="3120"/>
            <w:shd w:val="clear" w:color="auto" w:fill="F4F6F7"/>
          </w:tcPr>
          <w:p>
            <w:r>
              <w:rPr>
                <w:b/>
                <w:color w:val="0D1B2A"/>
                <w:sz w:val="20"/>
              </w:rPr>
              <w:t>Execution Timeline</w:t>
            </w:r>
          </w:p>
        </w:tc>
        <w:tc>
          <w:tcPr>
            <w:tcW w:type="dxa" w:w="3120"/>
            <w:shd w:val="clear" w:color="auto" w:fill="F4F6F7"/>
          </w:tcPr>
          <w:p>
            <w:r>
              <w:rPr>
                <w:i/>
                <w:color w:val="0D1B2A"/>
                <w:sz w:val="18"/>
              </w:rPr>
              <w:t>90-day tactical · 6-month optimization · KPI dashboard · Gantt</w:t>
            </w:r>
          </w:p>
        </w:tc>
      </w:tr>
      <w:tr>
        <w:tc>
          <w:tcPr>
            <w:tcW w:type="dxa" w:w="3120"/>
            <w:shd w:val="clear" w:color="auto" w:fill="EBF5FB"/>
          </w:tcPr>
          <w:p>
            <w:r>
              <w:rPr>
                <w:b/>
                <w:color w:val="E56B1F"/>
                <w:sz w:val="22"/>
              </w:rPr>
              <w:t>07</w:t>
            </w:r>
          </w:p>
        </w:tc>
        <w:tc>
          <w:tcPr>
            <w:tcW w:type="dxa" w:w="3120"/>
            <w:shd w:val="clear" w:color="auto" w:fill="EBF5FB"/>
          </w:tcPr>
          <w:p>
            <w:r>
              <w:rPr>
                <w:b/>
                <w:color w:val="0D1B2A"/>
                <w:sz w:val="20"/>
              </w:rPr>
              <w:t>Document Consistency Map</w:t>
            </w:r>
          </w:p>
        </w:tc>
        <w:tc>
          <w:tcPr>
            <w:tcW w:type="dxa" w:w="3120"/>
            <w:shd w:val="clear" w:color="auto" w:fill="EBF5FB"/>
          </w:tcPr>
          <w:p>
            <w:r>
              <w:rPr>
                <w:i/>
                <w:color w:val="0D1B2A"/>
                <w:sz w:val="18"/>
              </w:rPr>
              <w:t>Every strategic change mapped to every business document</w:t>
            </w:r>
          </w:p>
        </w:tc>
      </w:tr>
    </w:tbl>
    <w:p/>
    <w:p>
      <w:pPr>
        <w:jc w:val="center"/>
      </w:pPr>
      <w:r>
        <w:rPr>
          <w:i/>
          <w:color w:val="AAAAAA"/>
          <w:sz w:val="17"/>
        </w:rPr>
        <w:t>Confidential · Wasel Strategy Team · February 2026</w:t>
        <w:br/>
        <w:t>Not for external distribution</w:t>
      </w:r>
    </w:p>
    <w:p>
      <w:r>
        <w:br w:type="page"/>
      </w:r>
    </w:p>
    <w:tbl>
      <w:tblPr>
        <w:tblW w:type="auto" w:w="0"/>
        <w:jc w:val="center"/>
        <w:tblLook w:firstColumn="1" w:firstRow="1" w:lastColumn="0" w:lastRow="0" w:noHBand="0" w:noVBand="1" w:val="04A0"/>
      </w:tblPr>
      <w:tblGrid>
        <w:gridCol w:w="9360"/>
      </w:tblGrid>
      <w:tr>
        <w:tc>
          <w:tcPr>
            <w:tcW w:type="dxa" w:w="9360"/>
            <w:shd w:val="clear" w:color="auto" w:fill="0D1B2A"/>
          </w:tcPr>
          <w:p>
            <w:pPr>
              <w:spacing w:before="200" w:after="80"/>
              <w:jc w:val="center"/>
            </w:pPr>
            <w:r>
              <w:rPr>
                <w:b/>
                <w:color w:val="FFFFFF"/>
                <w:sz w:val="30"/>
              </w:rPr>
              <w:t>01  CORE RIDER VALUE THESIS</w:t>
            </w:r>
          </w:p>
          <w:p>
            <w:pPr>
              <w:spacing w:after="160"/>
              <w:jc w:val="center"/>
            </w:pPr>
            <w:r>
              <w:rPr>
                <w:i/>
                <w:color w:val="FFFFFF"/>
                <w:sz w:val="18"/>
              </w:rPr>
              <w:t>Structural pain point analysis · Frequency × monetization matrix · Jordan-specific diagnosis</w:t>
            </w:r>
          </w:p>
        </w:tc>
      </w:tr>
    </w:tbl>
    <w:p/>
    <w:p>
      <w:pPr>
        <w:spacing w:before="320" w:after="80"/>
      </w:pPr>
      <w:r>
        <w:rPr>
          <w:b/>
          <w:color w:val="1A5376"/>
          <w:sz w:val="28"/>
        </w:rPr>
        <w:t>Premise: Why Economics — Not Identity — Must Drive Rider Acquisition</w:t>
      </w:r>
    </w:p>
    <w:p>
      <w:pPr>
        <w:spacing w:before="40" w:after="100"/>
      </w:pPr>
      <w:r>
        <w:rPr>
          <w:b w:val="0"/>
          <w:i w:val="0"/>
          <w:color w:val="3D3D3D"/>
          <w:sz w:val="21"/>
        </w:rPr>
        <w:t>Boycott sentiment creates an acquisition window. It does not create a product. A rider who downloads Wasel because of Uber's Flytrex investment will uninstall it within 72 hours if the experience is inferior. The structural case for Wasel must be so airtight that even a rider who has zero political opinion chooses it as the rational default. That is the standard this strategy is designed to meet.</w:t>
      </w:r>
    </w:p>
    <w:p>
      <w:pPr>
        <w:spacing w:before="320" w:after="80"/>
      </w:pPr>
      <w:r>
        <w:rPr>
          <w:b/>
          <w:color w:val="1A5376"/>
          <w:sz w:val="28"/>
        </w:rPr>
        <w:t>1.1  Structural Pain Points in the Jordanian Rider Experience</w:t>
      </w:r>
    </w:p>
    <w:p>
      <w:pPr>
        <w:spacing w:before="40" w:after="100"/>
      </w:pPr>
      <w:r>
        <w:rPr>
          <w:b w:val="0"/>
          <w:i w:val="0"/>
          <w:color w:val="3D3D3D"/>
          <w:sz w:val="21"/>
        </w:rPr>
        <w:t>Pain points are classified across three dimensions: emotional (trust, dignity, safety), economic (cost, predictability, value), and friction (usability, payment, reliability). The ranking below is based on frequency of occurrence × willingness-to-pay for resolution.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0D1B2A"/>
          </w:tcPr>
          <w:p>
            <w:pPr>
              <w:jc w:val="center"/>
            </w:pPr>
            <w:r>
              <w:rPr>
                <w:b/>
                <w:color w:val="FFFFFF"/>
                <w:sz w:val="18"/>
              </w:rPr>
              <w:t>Rank</w:t>
            </w:r>
          </w:p>
        </w:tc>
        <w:tc>
          <w:tcPr>
            <w:tcW w:type="dxa" w:w="1560"/>
            <w:shd w:val="clear" w:color="auto" w:fill="0D1B2A"/>
          </w:tcPr>
          <w:p>
            <w:pPr>
              <w:jc w:val="center"/>
            </w:pPr>
            <w:r>
              <w:rPr>
                <w:b/>
                <w:color w:val="FFFFFF"/>
                <w:sz w:val="18"/>
              </w:rPr>
              <w:t>Pain Point</w:t>
            </w:r>
          </w:p>
        </w:tc>
        <w:tc>
          <w:tcPr>
            <w:tcW w:type="dxa" w:w="1560"/>
            <w:shd w:val="clear" w:color="auto" w:fill="0D1B2A"/>
          </w:tcPr>
          <w:p>
            <w:pPr>
              <w:jc w:val="center"/>
            </w:pPr>
            <w:r>
              <w:rPr>
                <w:b/>
                <w:color w:val="FFFFFF"/>
                <w:sz w:val="18"/>
              </w:rPr>
              <w:t>Type</w:t>
            </w:r>
          </w:p>
        </w:tc>
        <w:tc>
          <w:tcPr>
            <w:tcW w:type="dxa" w:w="1560"/>
            <w:shd w:val="clear" w:color="auto" w:fill="0D1B2A"/>
          </w:tcPr>
          <w:p>
            <w:pPr>
              <w:jc w:val="center"/>
            </w:pPr>
            <w:r>
              <w:rPr>
                <w:b/>
                <w:color w:val="FFFFFF"/>
                <w:sz w:val="18"/>
              </w:rPr>
              <w:t>Frequency</w:t>
            </w:r>
          </w:p>
        </w:tc>
        <w:tc>
          <w:tcPr>
            <w:tcW w:type="dxa" w:w="1560"/>
            <w:shd w:val="clear" w:color="auto" w:fill="0D1B2A"/>
          </w:tcPr>
          <w:p>
            <w:pPr>
              <w:jc w:val="center"/>
            </w:pPr>
            <w:r>
              <w:rPr>
                <w:b/>
                <w:color w:val="FFFFFF"/>
                <w:sz w:val="18"/>
              </w:rPr>
              <w:t>Monetization Potential</w:t>
            </w:r>
          </w:p>
        </w:tc>
        <w:tc>
          <w:tcPr>
            <w:tcW w:type="dxa" w:w="1560"/>
            <w:shd w:val="clear" w:color="auto" w:fill="0D1B2A"/>
          </w:tcPr>
          <w:p>
            <w:pPr>
              <w:jc w:val="center"/>
            </w:pPr>
            <w:r>
              <w:rPr>
                <w:b/>
                <w:color w:val="FFFFFF"/>
                <w:sz w:val="18"/>
              </w:rPr>
              <w:t>Wasel Solution Vector</w:t>
            </w:r>
          </w:p>
        </w:tc>
      </w:tr>
      <w:tr>
        <w:tc>
          <w:tcPr>
            <w:tcW w:type="dxa" w:w="1560"/>
            <w:shd w:val="clear" w:color="auto" w:fill="F4F6F7"/>
          </w:tcPr>
          <w:p>
            <w:pPr>
              <w:spacing w:before="40" w:after="40"/>
            </w:pPr>
            <w:r>
              <w:rPr>
                <w:sz w:val="17"/>
              </w:rPr>
              <w:t>1</w:t>
            </w:r>
          </w:p>
        </w:tc>
        <w:tc>
          <w:tcPr>
            <w:tcW w:type="dxa" w:w="1560"/>
            <w:shd w:val="clear" w:color="auto" w:fill="F4F6F7"/>
          </w:tcPr>
          <w:p>
            <w:pPr>
              <w:spacing w:before="40" w:after="40"/>
            </w:pPr>
            <w:r>
              <w:rPr>
                <w:sz w:val="17"/>
              </w:rPr>
              <w:t>Surge pricing — unpredictable cost spikes at exactly the moments riders need the service most (rain, rush hour, late night)</w:t>
            </w:r>
          </w:p>
        </w:tc>
        <w:tc>
          <w:tcPr>
            <w:tcW w:type="dxa" w:w="1560"/>
            <w:shd w:val="clear" w:color="auto" w:fill="F4F6F7"/>
          </w:tcPr>
          <w:p>
            <w:pPr>
              <w:spacing w:before="40" w:after="40"/>
            </w:pPr>
            <w:r>
              <w:rPr>
                <w:sz w:val="17"/>
              </w:rPr>
              <w:t>Economic + Emotional</w:t>
            </w:r>
          </w:p>
        </w:tc>
        <w:tc>
          <w:tcPr>
            <w:tcW w:type="dxa" w:w="1560"/>
            <w:shd w:val="clear" w:color="auto" w:fill="F4F6F7"/>
          </w:tcPr>
          <w:p>
            <w:pPr>
              <w:spacing w:before="40" w:after="40"/>
            </w:pPr>
            <w:r>
              <w:rPr>
                <w:sz w:val="17"/>
              </w:rPr>
              <w:t>Daily for frequent riders</w:t>
            </w:r>
          </w:p>
        </w:tc>
        <w:tc>
          <w:tcPr>
            <w:tcW w:type="dxa" w:w="1560"/>
            <w:shd w:val="clear" w:color="auto" w:fill="F4F6F7"/>
          </w:tcPr>
          <w:p>
            <w:pPr>
              <w:spacing w:before="40" w:after="40"/>
            </w:pPr>
            <w:r>
              <w:rPr>
                <w:sz w:val="17"/>
              </w:rPr>
              <w:t>VERY HIGH — subscription uplift of JD 5–10/mo to eliminate</w:t>
            </w:r>
          </w:p>
        </w:tc>
        <w:tc>
          <w:tcPr>
            <w:tcW w:type="dxa" w:w="1560"/>
            <w:shd w:val="clear" w:color="auto" w:fill="F4F6F7"/>
          </w:tcPr>
          <w:p>
            <w:pPr>
              <w:spacing w:before="40" w:after="40"/>
            </w:pPr>
            <w:r>
              <w:rPr>
                <w:sz w:val="17"/>
              </w:rPr>
              <w:t>Wasel Pass: hard surge cap / elimination</w:t>
            </w:r>
          </w:p>
        </w:tc>
      </w:tr>
      <w:tr>
        <w:tc>
          <w:tcPr>
            <w:tcW w:type="dxa" w:w="1560"/>
            <w:shd w:val="clear" w:color="auto" w:fill="FDFEFE"/>
          </w:tcPr>
          <w:p>
            <w:pPr>
              <w:spacing w:before="40" w:after="40"/>
            </w:pPr>
            <w:r>
              <w:rPr>
                <w:sz w:val="17"/>
              </w:rPr>
              <w:t>2</w:t>
            </w:r>
          </w:p>
        </w:tc>
        <w:tc>
          <w:tcPr>
            <w:tcW w:type="dxa" w:w="1560"/>
            <w:shd w:val="clear" w:color="auto" w:fill="FDFEFE"/>
          </w:tcPr>
          <w:p>
            <w:pPr>
              <w:spacing w:before="40" w:after="40"/>
            </w:pPr>
            <w:r>
              <w:rPr>
                <w:sz w:val="17"/>
              </w:rPr>
              <w:t>Driver cancellation after acceptance — rider waits 4–8 min, driver cancels, process restarts</w:t>
            </w:r>
          </w:p>
        </w:tc>
        <w:tc>
          <w:tcPr>
            <w:tcW w:type="dxa" w:w="1560"/>
            <w:shd w:val="clear" w:color="auto" w:fill="FDFEFE"/>
          </w:tcPr>
          <w:p>
            <w:pPr>
              <w:spacing w:before="40" w:after="40"/>
            </w:pPr>
            <w:r>
              <w:rPr>
                <w:sz w:val="17"/>
              </w:rPr>
              <w:t>Friction + Emotional</w:t>
            </w:r>
          </w:p>
        </w:tc>
        <w:tc>
          <w:tcPr>
            <w:tcW w:type="dxa" w:w="1560"/>
            <w:shd w:val="clear" w:color="auto" w:fill="FDFEFE"/>
          </w:tcPr>
          <w:p>
            <w:pPr>
              <w:spacing w:before="40" w:after="40"/>
            </w:pPr>
            <w:r>
              <w:rPr>
                <w:sz w:val="17"/>
              </w:rPr>
              <w:t>Multiple times/week</w:t>
            </w:r>
          </w:p>
        </w:tc>
        <w:tc>
          <w:tcPr>
            <w:tcW w:type="dxa" w:w="1560"/>
            <w:shd w:val="clear" w:color="auto" w:fill="FDFEFE"/>
          </w:tcPr>
          <w:p>
            <w:pPr>
              <w:spacing w:before="40" w:after="40"/>
            </w:pPr>
            <w:r>
              <w:rPr>
                <w:sz w:val="17"/>
              </w:rPr>
              <w:t>HIGH — retention driver; NPS destroyer</w:t>
            </w:r>
          </w:p>
        </w:tc>
        <w:tc>
          <w:tcPr>
            <w:tcW w:type="dxa" w:w="1560"/>
            <w:shd w:val="clear" w:color="auto" w:fill="FDFEFE"/>
          </w:tcPr>
          <w:p>
            <w:pPr>
              <w:spacing w:before="40" w:after="40"/>
            </w:pPr>
            <w:r>
              <w:rPr>
                <w:sz w:val="17"/>
              </w:rPr>
              <w:t>Penalty-weighted dispatch system + driver reliability score</w:t>
            </w:r>
          </w:p>
        </w:tc>
      </w:tr>
      <w:tr>
        <w:tc>
          <w:tcPr>
            <w:tcW w:type="dxa" w:w="1560"/>
            <w:shd w:val="clear" w:color="auto" w:fill="F4F6F7"/>
          </w:tcPr>
          <w:p>
            <w:pPr>
              <w:spacing w:before="40" w:after="40"/>
            </w:pPr>
            <w:r>
              <w:rPr>
                <w:sz w:val="17"/>
              </w:rPr>
              <w:t>3</w:t>
            </w:r>
          </w:p>
        </w:tc>
        <w:tc>
          <w:tcPr>
            <w:tcW w:type="dxa" w:w="1560"/>
            <w:shd w:val="clear" w:color="auto" w:fill="F4F6F7"/>
          </w:tcPr>
          <w:p>
            <w:pPr>
              <w:spacing w:before="40" w:after="40"/>
            </w:pPr>
            <w:r>
              <w:rPr>
                <w:sz w:val="17"/>
              </w:rPr>
              <w:t>ETA inaccuracy — stated arrival time bears no relationship to actual arrival</w:t>
            </w:r>
          </w:p>
        </w:tc>
        <w:tc>
          <w:tcPr>
            <w:tcW w:type="dxa" w:w="1560"/>
            <w:shd w:val="clear" w:color="auto" w:fill="F4F6F7"/>
          </w:tcPr>
          <w:p>
            <w:pPr>
              <w:spacing w:before="40" w:after="40"/>
            </w:pPr>
            <w:r>
              <w:rPr>
                <w:sz w:val="17"/>
              </w:rPr>
              <w:t>Friction</w:t>
            </w:r>
          </w:p>
        </w:tc>
        <w:tc>
          <w:tcPr>
            <w:tcW w:type="dxa" w:w="1560"/>
            <w:shd w:val="clear" w:color="auto" w:fill="F4F6F7"/>
          </w:tcPr>
          <w:p>
            <w:pPr>
              <w:spacing w:before="40" w:after="40"/>
            </w:pPr>
            <w:r>
              <w:rPr>
                <w:sz w:val="17"/>
              </w:rPr>
              <w:t>Every ride</w:t>
            </w:r>
          </w:p>
        </w:tc>
        <w:tc>
          <w:tcPr>
            <w:tcW w:type="dxa" w:w="1560"/>
            <w:shd w:val="clear" w:color="auto" w:fill="F4F6F7"/>
          </w:tcPr>
          <w:p>
            <w:pPr>
              <w:spacing w:before="40" w:after="40"/>
            </w:pPr>
            <w:r>
              <w:rPr>
                <w:sz w:val="17"/>
              </w:rPr>
              <w:t>HIGH — baseline trust failure</w:t>
            </w:r>
          </w:p>
        </w:tc>
        <w:tc>
          <w:tcPr>
            <w:tcW w:type="dxa" w:w="1560"/>
            <w:shd w:val="clear" w:color="auto" w:fill="F4F6F7"/>
          </w:tcPr>
          <w:p>
            <w:pPr>
              <w:spacing w:before="40" w:after="40"/>
            </w:pPr>
            <w:r>
              <w:rPr>
                <w:sz w:val="17"/>
              </w:rPr>
              <w:t>Real-time ML ETA with confidence interval shown to rider</w:t>
            </w:r>
          </w:p>
        </w:tc>
      </w:tr>
      <w:tr>
        <w:tc>
          <w:tcPr>
            <w:tcW w:type="dxa" w:w="1560"/>
            <w:shd w:val="clear" w:color="auto" w:fill="FDFEFE"/>
          </w:tcPr>
          <w:p>
            <w:pPr>
              <w:spacing w:before="40" w:after="40"/>
            </w:pPr>
            <w:r>
              <w:rPr>
                <w:sz w:val="17"/>
              </w:rPr>
              <w:t>4</w:t>
            </w:r>
          </w:p>
        </w:tc>
        <w:tc>
          <w:tcPr>
            <w:tcW w:type="dxa" w:w="1560"/>
            <w:shd w:val="clear" w:color="auto" w:fill="FDFEFE"/>
          </w:tcPr>
          <w:p>
            <w:pPr>
              <w:spacing w:before="40" w:after="40"/>
            </w:pPr>
            <w:r>
              <w:rPr>
                <w:sz w:val="17"/>
              </w:rPr>
              <w:t>Opaque pricing — fare shown after booking confirmation, not before; surge multiplier hidden until checkout</w:t>
            </w:r>
          </w:p>
        </w:tc>
        <w:tc>
          <w:tcPr>
            <w:tcW w:type="dxa" w:w="1560"/>
            <w:shd w:val="clear" w:color="auto" w:fill="FDFEFE"/>
          </w:tcPr>
          <w:p>
            <w:pPr>
              <w:spacing w:before="40" w:after="40"/>
            </w:pPr>
            <w:r>
              <w:rPr>
                <w:sz w:val="17"/>
              </w:rPr>
              <w:t>Economic + Friction</w:t>
            </w:r>
          </w:p>
        </w:tc>
        <w:tc>
          <w:tcPr>
            <w:tcW w:type="dxa" w:w="1560"/>
            <w:shd w:val="clear" w:color="auto" w:fill="FDFEFE"/>
          </w:tcPr>
          <w:p>
            <w:pPr>
              <w:spacing w:before="40" w:after="40"/>
            </w:pPr>
            <w:r>
              <w:rPr>
                <w:sz w:val="17"/>
              </w:rPr>
              <w:t>Every ride with surge</w:t>
            </w:r>
          </w:p>
        </w:tc>
        <w:tc>
          <w:tcPr>
            <w:tcW w:type="dxa" w:w="1560"/>
            <w:shd w:val="clear" w:color="auto" w:fill="FDFEFE"/>
          </w:tcPr>
          <w:p>
            <w:pPr>
              <w:spacing w:before="40" w:after="40"/>
            </w:pPr>
            <w:r>
              <w:rPr>
                <w:sz w:val="17"/>
              </w:rPr>
              <w:t>HIGH — price transparency converts switchers</w:t>
            </w:r>
          </w:p>
        </w:tc>
        <w:tc>
          <w:tcPr>
            <w:tcW w:type="dxa" w:w="1560"/>
            <w:shd w:val="clear" w:color="auto" w:fill="FDFEFE"/>
          </w:tcPr>
          <w:p>
            <w:pPr>
              <w:spacing w:before="40" w:after="40"/>
            </w:pPr>
            <w:r>
              <w:rPr>
                <w:sz w:val="17"/>
              </w:rPr>
              <w:t>Full fare lock shown pre-booking, no hidden surge</w:t>
            </w:r>
          </w:p>
        </w:tc>
      </w:tr>
      <w:tr>
        <w:tc>
          <w:tcPr>
            <w:tcW w:type="dxa" w:w="1560"/>
            <w:shd w:val="clear" w:color="auto" w:fill="F4F6F7"/>
          </w:tcPr>
          <w:p>
            <w:pPr>
              <w:spacing w:before="40" w:after="40"/>
            </w:pPr>
            <w:r>
              <w:rPr>
                <w:sz w:val="17"/>
              </w:rPr>
              <w:t>5</w:t>
            </w:r>
          </w:p>
        </w:tc>
        <w:tc>
          <w:tcPr>
            <w:tcW w:type="dxa" w:w="1560"/>
            <w:shd w:val="clear" w:color="auto" w:fill="F4F6F7"/>
          </w:tcPr>
          <w:p>
            <w:pPr>
              <w:spacing w:before="40" w:after="40"/>
            </w:pPr>
            <w:r>
              <w:rPr>
                <w:sz w:val="17"/>
              </w:rPr>
              <w:t>Safety anxiety — female riders: no pre-verified driver profile, no one-tap family sharing, no visible SOS</w:t>
            </w:r>
          </w:p>
        </w:tc>
        <w:tc>
          <w:tcPr>
            <w:tcW w:type="dxa" w:w="1560"/>
            <w:shd w:val="clear" w:color="auto" w:fill="F4F6F7"/>
          </w:tcPr>
          <w:p>
            <w:pPr>
              <w:spacing w:before="40" w:after="40"/>
            </w:pPr>
            <w:r>
              <w:rPr>
                <w:sz w:val="17"/>
              </w:rPr>
              <w:t>Emotional</w:t>
            </w:r>
          </w:p>
        </w:tc>
        <w:tc>
          <w:tcPr>
            <w:tcW w:type="dxa" w:w="1560"/>
            <w:shd w:val="clear" w:color="auto" w:fill="F4F6F7"/>
          </w:tcPr>
          <w:p>
            <w:pPr>
              <w:spacing w:before="40" w:after="40"/>
            </w:pPr>
            <w:r>
              <w:rPr>
                <w:sz w:val="17"/>
              </w:rPr>
              <w:t>Every solo female trip</w:t>
            </w:r>
          </w:p>
        </w:tc>
        <w:tc>
          <w:tcPr>
            <w:tcW w:type="dxa" w:w="1560"/>
            <w:shd w:val="clear" w:color="auto" w:fill="F4F6F7"/>
          </w:tcPr>
          <w:p>
            <w:pPr>
              <w:spacing w:before="40" w:after="40"/>
            </w:pPr>
            <w:r>
              <w:rPr>
                <w:sz w:val="17"/>
              </w:rPr>
              <w:t>VERY HIGH — unlocks 40%+ of addressable market</w:t>
            </w:r>
          </w:p>
        </w:tc>
        <w:tc>
          <w:tcPr>
            <w:tcW w:type="dxa" w:w="1560"/>
            <w:shd w:val="clear" w:color="auto" w:fill="F4F6F7"/>
          </w:tcPr>
          <w:p>
            <w:pPr>
              <w:spacing w:before="40" w:after="40"/>
            </w:pPr>
            <w:r>
              <w:rPr>
                <w:sz w:val="17"/>
              </w:rPr>
              <w:t>Live trip share (1 tap WhatsApp), driver photo+plate upfront, SOS prominence</w:t>
            </w:r>
          </w:p>
        </w:tc>
      </w:tr>
      <w:tr>
        <w:tc>
          <w:tcPr>
            <w:tcW w:type="dxa" w:w="1560"/>
            <w:shd w:val="clear" w:color="auto" w:fill="FDFEFE"/>
          </w:tcPr>
          <w:p>
            <w:pPr>
              <w:spacing w:before="40" w:after="40"/>
            </w:pPr>
            <w:r>
              <w:rPr>
                <w:sz w:val="17"/>
              </w:rPr>
              <w:t>6</w:t>
            </w:r>
          </w:p>
        </w:tc>
        <w:tc>
          <w:tcPr>
            <w:tcW w:type="dxa" w:w="1560"/>
            <w:shd w:val="clear" w:color="auto" w:fill="FDFEFE"/>
          </w:tcPr>
          <w:p>
            <w:pPr>
              <w:spacing w:before="40" w:after="40"/>
            </w:pPr>
            <w:r>
              <w:rPr>
                <w:sz w:val="17"/>
              </w:rPr>
              <w:t>Cash payment friction — no clean cash-to-digital bridge; many riders carry cash but cannot use ride apps</w:t>
            </w:r>
          </w:p>
        </w:tc>
        <w:tc>
          <w:tcPr>
            <w:tcW w:type="dxa" w:w="1560"/>
            <w:shd w:val="clear" w:color="auto" w:fill="FDFEFE"/>
          </w:tcPr>
          <w:p>
            <w:pPr>
              <w:spacing w:before="40" w:after="40"/>
            </w:pPr>
            <w:r>
              <w:rPr>
                <w:sz w:val="17"/>
              </w:rPr>
              <w:t>Friction + Economic</w:t>
            </w:r>
          </w:p>
        </w:tc>
        <w:tc>
          <w:tcPr>
            <w:tcW w:type="dxa" w:w="1560"/>
            <w:shd w:val="clear" w:color="auto" w:fill="FDFEFE"/>
          </w:tcPr>
          <w:p>
            <w:pPr>
              <w:spacing w:before="40" w:after="40"/>
            </w:pPr>
            <w:r>
              <w:rPr>
                <w:sz w:val="17"/>
              </w:rPr>
              <w:t>65% of population</w:t>
            </w:r>
          </w:p>
        </w:tc>
        <w:tc>
          <w:tcPr>
            <w:tcW w:type="dxa" w:w="1560"/>
            <w:shd w:val="clear" w:color="auto" w:fill="FDFEFE"/>
          </w:tcPr>
          <w:p>
            <w:pPr>
              <w:spacing w:before="40" w:after="40"/>
            </w:pPr>
            <w:r>
              <w:rPr>
                <w:sz w:val="17"/>
              </w:rPr>
              <w:t>HIGH — removes the largest single acquisition barrier</w:t>
            </w:r>
          </w:p>
        </w:tc>
        <w:tc>
          <w:tcPr>
            <w:tcW w:type="dxa" w:w="1560"/>
            <w:shd w:val="clear" w:color="auto" w:fill="FDFEFE"/>
          </w:tcPr>
          <w:p>
            <w:pPr>
              <w:spacing w:before="40" w:after="40"/>
            </w:pPr>
            <w:r>
              <w:rPr>
                <w:sz w:val="17"/>
              </w:rPr>
              <w:t>Cash top-up agents at petrol stations + pharmacies (Phase 2)</w:t>
            </w:r>
          </w:p>
        </w:tc>
      </w:tr>
      <w:tr>
        <w:tc>
          <w:tcPr>
            <w:tcW w:type="dxa" w:w="1560"/>
            <w:shd w:val="clear" w:color="auto" w:fill="F4F6F7"/>
          </w:tcPr>
          <w:p>
            <w:pPr>
              <w:spacing w:before="40" w:after="40"/>
            </w:pPr>
            <w:r>
              <w:rPr>
                <w:sz w:val="17"/>
              </w:rPr>
              <w:t>7</w:t>
            </w:r>
          </w:p>
        </w:tc>
        <w:tc>
          <w:tcPr>
            <w:tcW w:type="dxa" w:w="1560"/>
            <w:shd w:val="clear" w:color="auto" w:fill="F4F6F7"/>
          </w:tcPr>
          <w:p>
            <w:pPr>
              <w:spacing w:before="40" w:after="40"/>
            </w:pPr>
            <w:r>
              <w:rPr>
                <w:sz w:val="17"/>
              </w:rPr>
              <w:t>No loyalty recognition — 200 rides with Uber = same experience as ride 1; zero accumulated value</w:t>
            </w:r>
          </w:p>
        </w:tc>
        <w:tc>
          <w:tcPr>
            <w:tcW w:type="dxa" w:w="1560"/>
            <w:shd w:val="clear" w:color="auto" w:fill="F4F6F7"/>
          </w:tcPr>
          <w:p>
            <w:pPr>
              <w:spacing w:before="40" w:after="40"/>
            </w:pPr>
            <w:r>
              <w:rPr>
                <w:sz w:val="17"/>
              </w:rPr>
              <w:t>Emotional</w:t>
            </w:r>
          </w:p>
        </w:tc>
        <w:tc>
          <w:tcPr>
            <w:tcW w:type="dxa" w:w="1560"/>
            <w:shd w:val="clear" w:color="auto" w:fill="F4F6F7"/>
          </w:tcPr>
          <w:p>
            <w:pPr>
              <w:spacing w:before="40" w:after="40"/>
            </w:pPr>
            <w:r>
              <w:rPr>
                <w:sz w:val="17"/>
              </w:rPr>
              <w:t>Always present, rarely surfaced</w:t>
            </w:r>
          </w:p>
        </w:tc>
        <w:tc>
          <w:tcPr>
            <w:tcW w:type="dxa" w:w="1560"/>
            <w:shd w:val="clear" w:color="auto" w:fill="F4F6F7"/>
          </w:tcPr>
          <w:p>
            <w:pPr>
              <w:spacing w:before="40" w:after="40"/>
            </w:pPr>
            <w:r>
              <w:rPr>
                <w:sz w:val="17"/>
              </w:rPr>
              <w:t>MEDIUM-HIGH — LTV multiplier</w:t>
            </w:r>
          </w:p>
        </w:tc>
        <w:tc>
          <w:tcPr>
            <w:tcW w:type="dxa" w:w="1560"/>
            <w:shd w:val="clear" w:color="auto" w:fill="F4F6F7"/>
          </w:tcPr>
          <w:p>
            <w:pPr>
              <w:spacing w:before="40" w:after="40"/>
            </w:pPr>
            <w:r>
              <w:rPr>
                <w:sz w:val="17"/>
              </w:rPr>
              <w:t>Tier-based rider identity: Go → Pass → VIP</w:t>
            </w:r>
          </w:p>
        </w:tc>
      </w:tr>
      <w:tr>
        <w:tc>
          <w:tcPr>
            <w:tcW w:type="dxa" w:w="1560"/>
            <w:shd w:val="clear" w:color="auto" w:fill="FDFEFE"/>
          </w:tcPr>
          <w:p>
            <w:pPr>
              <w:spacing w:before="40" w:after="40"/>
            </w:pPr>
            <w:r>
              <w:rPr>
                <w:sz w:val="17"/>
              </w:rPr>
              <w:t>8</w:t>
            </w:r>
          </w:p>
        </w:tc>
        <w:tc>
          <w:tcPr>
            <w:tcW w:type="dxa" w:w="1560"/>
            <w:shd w:val="clear" w:color="auto" w:fill="FDFEFE"/>
          </w:tcPr>
          <w:p>
            <w:pPr>
              <w:spacing w:before="40" w:after="40"/>
            </w:pPr>
            <w:r>
              <w:rPr>
                <w:sz w:val="17"/>
              </w:rPr>
              <w:t>Poor ride quality consistency — driver quality varies 2.0–5.0 stars with no filtering option for rider</w:t>
            </w:r>
          </w:p>
        </w:tc>
        <w:tc>
          <w:tcPr>
            <w:tcW w:type="dxa" w:w="1560"/>
            <w:shd w:val="clear" w:color="auto" w:fill="FDFEFE"/>
          </w:tcPr>
          <w:p>
            <w:pPr>
              <w:spacing w:before="40" w:after="40"/>
            </w:pPr>
            <w:r>
              <w:rPr>
                <w:sz w:val="17"/>
              </w:rPr>
              <w:t>Friction + Emotional</w:t>
            </w:r>
          </w:p>
        </w:tc>
        <w:tc>
          <w:tcPr>
            <w:tcW w:type="dxa" w:w="1560"/>
            <w:shd w:val="clear" w:color="auto" w:fill="FDFEFE"/>
          </w:tcPr>
          <w:p>
            <w:pPr>
              <w:spacing w:before="40" w:after="40"/>
            </w:pPr>
            <w:r>
              <w:rPr>
                <w:sz w:val="17"/>
              </w:rPr>
              <w:t>Weekly</w:t>
            </w:r>
          </w:p>
        </w:tc>
        <w:tc>
          <w:tcPr>
            <w:tcW w:type="dxa" w:w="1560"/>
            <w:shd w:val="clear" w:color="auto" w:fill="FDFEFE"/>
          </w:tcPr>
          <w:p>
            <w:pPr>
              <w:spacing w:before="40" w:after="40"/>
            </w:pPr>
            <w:r>
              <w:rPr>
                <w:sz w:val="17"/>
              </w:rPr>
              <w:t>MEDIUM — retention driver post-launch</w:t>
            </w:r>
          </w:p>
        </w:tc>
        <w:tc>
          <w:tcPr>
            <w:tcW w:type="dxa" w:w="1560"/>
            <w:shd w:val="clear" w:color="auto" w:fill="FDFEFE"/>
          </w:tcPr>
          <w:p>
            <w:pPr>
              <w:spacing w:before="40" w:after="40"/>
            </w:pPr>
            <w:r>
              <w:rPr>
                <w:sz w:val="17"/>
              </w:rPr>
              <w:t>Preferred driver pinning + quality-weighted dispatch</w:t>
            </w:r>
          </w:p>
        </w:tc>
      </w:tr>
      <w:tr>
        <w:tc>
          <w:tcPr>
            <w:tcW w:type="dxa" w:w="1560"/>
            <w:shd w:val="clear" w:color="auto" w:fill="F4F6F7"/>
          </w:tcPr>
          <w:p>
            <w:pPr>
              <w:spacing w:before="40" w:after="40"/>
            </w:pPr>
            <w:r>
              <w:rPr>
                <w:sz w:val="17"/>
              </w:rPr>
              <w:t>9</w:t>
            </w:r>
          </w:p>
        </w:tc>
        <w:tc>
          <w:tcPr>
            <w:tcW w:type="dxa" w:w="1560"/>
            <w:shd w:val="clear" w:color="auto" w:fill="F4F6F7"/>
          </w:tcPr>
          <w:p>
            <w:pPr>
              <w:spacing w:before="40" w:after="40"/>
            </w:pPr>
            <w:r>
              <w:rPr>
                <w:sz w:val="17"/>
              </w:rPr>
              <w:t>No split-payment option for group rides — common for university students sharing a car</w:t>
            </w:r>
          </w:p>
        </w:tc>
        <w:tc>
          <w:tcPr>
            <w:tcW w:type="dxa" w:w="1560"/>
            <w:shd w:val="clear" w:color="auto" w:fill="F4F6F7"/>
          </w:tcPr>
          <w:p>
            <w:pPr>
              <w:spacing w:before="40" w:after="40"/>
            </w:pPr>
            <w:r>
              <w:rPr>
                <w:sz w:val="17"/>
              </w:rPr>
              <w:t>Friction</w:t>
            </w:r>
          </w:p>
        </w:tc>
        <w:tc>
          <w:tcPr>
            <w:tcW w:type="dxa" w:w="1560"/>
            <w:shd w:val="clear" w:color="auto" w:fill="F4F6F7"/>
          </w:tcPr>
          <w:p>
            <w:pPr>
              <w:spacing w:before="40" w:after="40"/>
            </w:pPr>
            <w:r>
              <w:rPr>
                <w:sz w:val="17"/>
              </w:rPr>
              <w:t>2–3×/week for student segment</w:t>
            </w:r>
          </w:p>
        </w:tc>
        <w:tc>
          <w:tcPr>
            <w:tcW w:type="dxa" w:w="1560"/>
            <w:shd w:val="clear" w:color="auto" w:fill="F4F6F7"/>
          </w:tcPr>
          <w:p>
            <w:pPr>
              <w:spacing w:before="40" w:after="40"/>
            </w:pPr>
            <w:r>
              <w:rPr>
                <w:sz w:val="17"/>
              </w:rPr>
              <w:t>MEDIUM — student market unlock</w:t>
            </w:r>
          </w:p>
        </w:tc>
        <w:tc>
          <w:tcPr>
            <w:tcW w:type="dxa" w:w="1560"/>
            <w:shd w:val="clear" w:color="auto" w:fill="F4F6F7"/>
          </w:tcPr>
          <w:p>
            <w:pPr>
              <w:spacing w:before="40" w:after="40"/>
            </w:pPr>
            <w:r>
              <w:rPr>
                <w:sz w:val="17"/>
              </w:rPr>
              <w:t>In-app fare split (Phase 2)</w:t>
            </w:r>
          </w:p>
        </w:tc>
      </w:tr>
      <w:tr>
        <w:tc>
          <w:tcPr>
            <w:tcW w:type="dxa" w:w="1560"/>
            <w:shd w:val="clear" w:color="auto" w:fill="FDFEFE"/>
          </w:tcPr>
          <w:p>
            <w:pPr>
              <w:spacing w:before="40" w:after="40"/>
            </w:pPr>
            <w:r>
              <w:rPr>
                <w:sz w:val="17"/>
              </w:rPr>
              <w:t>10</w:t>
            </w:r>
          </w:p>
        </w:tc>
        <w:tc>
          <w:tcPr>
            <w:tcW w:type="dxa" w:w="1560"/>
            <w:shd w:val="clear" w:color="auto" w:fill="FDFEFE"/>
          </w:tcPr>
          <w:p>
            <w:pPr>
              <w:spacing w:before="40" w:after="40"/>
            </w:pPr>
            <w:r>
              <w:rPr>
                <w:sz w:val="17"/>
              </w:rPr>
              <w:t>Slow support resolution — disputes over fares or cancellations take 48–72 hours on incumbent platforms</w:t>
            </w:r>
          </w:p>
        </w:tc>
        <w:tc>
          <w:tcPr>
            <w:tcW w:type="dxa" w:w="1560"/>
            <w:shd w:val="clear" w:color="auto" w:fill="FDFEFE"/>
          </w:tcPr>
          <w:p>
            <w:pPr>
              <w:spacing w:before="40" w:after="40"/>
            </w:pPr>
            <w:r>
              <w:rPr>
                <w:sz w:val="17"/>
              </w:rPr>
              <w:t>Friction + Emotional</w:t>
            </w:r>
          </w:p>
        </w:tc>
        <w:tc>
          <w:tcPr>
            <w:tcW w:type="dxa" w:w="1560"/>
            <w:shd w:val="clear" w:color="auto" w:fill="FDFEFE"/>
          </w:tcPr>
          <w:p>
            <w:pPr>
              <w:spacing w:before="40" w:after="40"/>
            </w:pPr>
            <w:r>
              <w:rPr>
                <w:sz w:val="17"/>
              </w:rPr>
              <w:t>Monthly</w:t>
            </w:r>
          </w:p>
        </w:tc>
        <w:tc>
          <w:tcPr>
            <w:tcW w:type="dxa" w:w="1560"/>
            <w:shd w:val="clear" w:color="auto" w:fill="FDFEFE"/>
          </w:tcPr>
          <w:p>
            <w:pPr>
              <w:spacing w:before="40" w:after="40"/>
            </w:pPr>
            <w:r>
              <w:rPr>
                <w:sz w:val="17"/>
              </w:rPr>
              <w:t>MEDIUM — trust reinforcement</w:t>
            </w:r>
          </w:p>
        </w:tc>
        <w:tc>
          <w:tcPr>
            <w:tcW w:type="dxa" w:w="1560"/>
            <w:shd w:val="clear" w:color="auto" w:fill="FDFEFE"/>
          </w:tcPr>
          <w:p>
            <w:pPr>
              <w:spacing w:before="40" w:after="40"/>
            </w:pPr>
            <w:r>
              <w:rPr>
                <w:sz w:val="17"/>
              </w:rPr>
              <w:t>WhatsApp-first support with 4-hour resolution SLA</w:t>
            </w:r>
          </w:p>
        </w:tc>
      </w:tr>
    </w:tbl>
    <w:p/>
    <w:p>
      <w:pPr>
        <w:spacing w:before="320" w:after="80"/>
      </w:pPr>
      <w:r>
        <w:rPr>
          <w:b/>
          <w:color w:val="1A5376"/>
          <w:sz w:val="28"/>
        </w:rPr>
        <w:t>1.2  Pain Point Classification Matrix</w:t>
      </w:r>
    </w:p>
    <w:p>
      <w:pPr>
        <w:spacing w:before="40" w:after="100"/>
      </w:pPr>
      <w:r>
        <w:rPr>
          <w:b w:val="0"/>
          <w:i w:val="0"/>
          <w:color w:val="3D3D3D"/>
          <w:sz w:val="21"/>
        </w:rPr>
        <w:t>Pain points mapped across two axes: Frequency (how often it occurs) and Monetization Potential (how much a rider will pay to resolve it). Quadrant IV (high frequency × high monetization) is the product priority zone.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pPr>
              <w:jc w:val="center"/>
            </w:pPr>
            <w:r>
              <w:rPr>
                <w:b/>
                <w:color w:val="FFFFFF"/>
                <w:sz w:val="19"/>
              </w:rPr>
              <w:t>Quadrant</w:t>
            </w:r>
          </w:p>
        </w:tc>
        <w:tc>
          <w:tcPr>
            <w:tcW w:type="dxa" w:w="2340"/>
            <w:shd w:val="clear" w:color="auto" w:fill="1A5376"/>
          </w:tcPr>
          <w:p>
            <w:pPr>
              <w:jc w:val="center"/>
            </w:pPr>
            <w:r>
              <w:rPr>
                <w:b/>
                <w:color w:val="FFFFFF"/>
                <w:sz w:val="19"/>
              </w:rPr>
              <w:t>Pain Points</w:t>
            </w:r>
          </w:p>
        </w:tc>
        <w:tc>
          <w:tcPr>
            <w:tcW w:type="dxa" w:w="2340"/>
            <w:shd w:val="clear" w:color="auto" w:fill="1A5376"/>
          </w:tcPr>
          <w:p>
            <w:pPr>
              <w:jc w:val="center"/>
            </w:pPr>
            <w:r>
              <w:rPr>
                <w:b/>
                <w:color w:val="FFFFFF"/>
                <w:sz w:val="19"/>
              </w:rPr>
              <w:t>Strategic Priority</w:t>
            </w:r>
          </w:p>
        </w:tc>
        <w:tc>
          <w:tcPr>
            <w:tcW w:type="dxa" w:w="2340"/>
            <w:shd w:val="clear" w:color="auto" w:fill="1A5376"/>
          </w:tcPr>
          <w:p>
            <w:pPr>
              <w:jc w:val="center"/>
            </w:pPr>
            <w:r>
              <w:rPr>
                <w:b/>
                <w:color w:val="FFFFFF"/>
                <w:sz w:val="19"/>
              </w:rPr>
              <w:t>Product Response</w:t>
            </w:r>
          </w:p>
        </w:tc>
      </w:tr>
      <w:tr>
        <w:tc>
          <w:tcPr>
            <w:tcW w:type="dxa" w:w="2340"/>
            <w:shd w:val="clear" w:color="auto" w:fill="EBF5FB"/>
          </w:tcPr>
          <w:p>
            <w:pPr>
              <w:spacing w:before="40" w:after="40"/>
            </w:pPr>
            <w:r>
              <w:rPr>
                <w:sz w:val="18"/>
              </w:rPr>
              <w:t>I — High Freq / High Money</w:t>
              <w:br/>
              <w:t>(PRIMARY TARGET)</w:t>
            </w:r>
          </w:p>
        </w:tc>
        <w:tc>
          <w:tcPr>
            <w:tcW w:type="dxa" w:w="2340"/>
            <w:shd w:val="clear" w:color="auto" w:fill="EBF5FB"/>
          </w:tcPr>
          <w:p>
            <w:pPr>
              <w:spacing w:before="40" w:after="40"/>
            </w:pPr>
            <w:r>
              <w:rPr>
                <w:sz w:val="18"/>
              </w:rPr>
              <w:t>Surge unpredictability (#1)</w:t>
              <w:br/>
              <w:t>Driver cancellation (#2)</w:t>
              <w:br/>
              <w:t>Safety anxiety (#5)</w:t>
            </w:r>
          </w:p>
        </w:tc>
        <w:tc>
          <w:tcPr>
            <w:tcW w:type="dxa" w:w="2340"/>
            <w:shd w:val="clear" w:color="auto" w:fill="EBF5FB"/>
          </w:tcPr>
          <w:p>
            <w:pPr>
              <w:spacing w:before="40" w:after="40"/>
            </w:pPr>
            <w:r>
              <w:rPr>
                <w:sz w:val="18"/>
              </w:rPr>
              <w:t>CRITICAL — build first</w:t>
            </w:r>
          </w:p>
        </w:tc>
        <w:tc>
          <w:tcPr>
            <w:tcW w:type="dxa" w:w="2340"/>
            <w:shd w:val="clear" w:color="auto" w:fill="EBF5FB"/>
          </w:tcPr>
          <w:p>
            <w:pPr>
              <w:spacing w:before="40" w:after="40"/>
            </w:pPr>
            <w:r>
              <w:rPr>
                <w:sz w:val="18"/>
              </w:rPr>
              <w:t>Surge cap in Pass tier; Reliability score; Live trip share</w:t>
            </w:r>
          </w:p>
        </w:tc>
      </w:tr>
      <w:tr>
        <w:tc>
          <w:tcPr>
            <w:tcW w:type="dxa" w:w="2340"/>
            <w:shd w:val="clear" w:color="auto" w:fill="FDFEFE"/>
          </w:tcPr>
          <w:p>
            <w:pPr>
              <w:spacing w:before="40" w:after="40"/>
            </w:pPr>
            <w:r>
              <w:rPr>
                <w:sz w:val="18"/>
              </w:rPr>
              <w:t>II — Low Freq / High Money</w:t>
              <w:br/>
              <w:t>(PREMIUM SEGMENT)</w:t>
            </w:r>
          </w:p>
        </w:tc>
        <w:tc>
          <w:tcPr>
            <w:tcW w:type="dxa" w:w="2340"/>
            <w:shd w:val="clear" w:color="auto" w:fill="FDFEFE"/>
          </w:tcPr>
          <w:p>
            <w:pPr>
              <w:spacing w:before="40" w:after="40"/>
            </w:pPr>
            <w:r>
              <w:rPr>
                <w:sz w:val="18"/>
              </w:rPr>
              <w:t>Loyalty void (#7)</w:t>
              <w:br/>
              <w:t>Consistency (#8)</w:t>
            </w:r>
          </w:p>
        </w:tc>
        <w:tc>
          <w:tcPr>
            <w:tcW w:type="dxa" w:w="2340"/>
            <w:shd w:val="clear" w:color="auto" w:fill="FDFEFE"/>
          </w:tcPr>
          <w:p>
            <w:pPr>
              <w:spacing w:before="40" w:after="40"/>
            </w:pPr>
            <w:r>
              <w:rPr>
                <w:sz w:val="18"/>
              </w:rPr>
              <w:t>HIGH — builds LTV</w:t>
            </w:r>
          </w:p>
        </w:tc>
        <w:tc>
          <w:tcPr>
            <w:tcW w:type="dxa" w:w="2340"/>
            <w:shd w:val="clear" w:color="auto" w:fill="FDFEFE"/>
          </w:tcPr>
          <w:p>
            <w:pPr>
              <w:spacing w:before="40" w:after="40"/>
            </w:pPr>
            <w:r>
              <w:rPr>
                <w:sz w:val="18"/>
              </w:rPr>
              <w:t>Tier identity system; Preferred driver feature</w:t>
            </w:r>
          </w:p>
        </w:tc>
      </w:tr>
      <w:tr>
        <w:tc>
          <w:tcPr>
            <w:tcW w:type="dxa" w:w="2340"/>
            <w:shd w:val="clear" w:color="auto" w:fill="EBF5FB"/>
          </w:tcPr>
          <w:p>
            <w:pPr>
              <w:spacing w:before="40" w:after="40"/>
            </w:pPr>
            <w:r>
              <w:rPr>
                <w:sz w:val="18"/>
              </w:rPr>
              <w:t>III — High Freq / Low Money</w:t>
              <w:br/>
              <w:t>(TABLE STAKES)</w:t>
            </w:r>
          </w:p>
        </w:tc>
        <w:tc>
          <w:tcPr>
            <w:tcW w:type="dxa" w:w="2340"/>
            <w:shd w:val="clear" w:color="auto" w:fill="EBF5FB"/>
          </w:tcPr>
          <w:p>
            <w:pPr>
              <w:spacing w:before="40" w:after="40"/>
            </w:pPr>
            <w:r>
              <w:rPr>
                <w:sz w:val="18"/>
              </w:rPr>
              <w:t>ETA inaccuracy (#3)</w:t>
              <w:br/>
              <w:t>Opaque pricing (#4)</w:t>
              <w:br/>
              <w:t>Cash friction (#6)</w:t>
            </w:r>
          </w:p>
        </w:tc>
        <w:tc>
          <w:tcPr>
            <w:tcW w:type="dxa" w:w="2340"/>
            <w:shd w:val="clear" w:color="auto" w:fill="EBF5FB"/>
          </w:tcPr>
          <w:p>
            <w:pPr>
              <w:spacing w:before="40" w:after="40"/>
            </w:pPr>
            <w:r>
              <w:rPr>
                <w:sz w:val="18"/>
              </w:rPr>
              <w:t>NECESSARY — must fix to compete</w:t>
            </w:r>
          </w:p>
        </w:tc>
        <w:tc>
          <w:tcPr>
            <w:tcW w:type="dxa" w:w="2340"/>
            <w:shd w:val="clear" w:color="auto" w:fill="EBF5FB"/>
          </w:tcPr>
          <w:p>
            <w:pPr>
              <w:spacing w:before="40" w:after="40"/>
            </w:pPr>
            <w:r>
              <w:rPr>
                <w:sz w:val="18"/>
              </w:rPr>
              <w:t>Price lock; ML ETA; Cash agent network</w:t>
            </w:r>
          </w:p>
        </w:tc>
      </w:tr>
      <w:tr>
        <w:tc>
          <w:tcPr>
            <w:tcW w:type="dxa" w:w="2340"/>
            <w:shd w:val="clear" w:color="auto" w:fill="FDFEFE"/>
          </w:tcPr>
          <w:p>
            <w:pPr>
              <w:spacing w:before="40" w:after="40"/>
            </w:pPr>
            <w:r>
              <w:rPr>
                <w:sz w:val="18"/>
              </w:rPr>
              <w:t>IV — Low Freq / Low Money</w:t>
              <w:br/>
              <w:t>(PHASE 2)</w:t>
            </w:r>
          </w:p>
        </w:tc>
        <w:tc>
          <w:tcPr>
            <w:tcW w:type="dxa" w:w="2340"/>
            <w:shd w:val="clear" w:color="auto" w:fill="FDFEFE"/>
          </w:tcPr>
          <w:p>
            <w:pPr>
              <w:spacing w:before="40" w:after="40"/>
            </w:pPr>
            <w:r>
              <w:rPr>
                <w:sz w:val="18"/>
              </w:rPr>
              <w:t>Split payment (#9)</w:t>
              <w:br/>
              <w:t>Slow support (#10)</w:t>
            </w:r>
          </w:p>
        </w:tc>
        <w:tc>
          <w:tcPr>
            <w:tcW w:type="dxa" w:w="2340"/>
            <w:shd w:val="clear" w:color="auto" w:fill="FDFEFE"/>
          </w:tcPr>
          <w:p>
            <w:pPr>
              <w:spacing w:before="40" w:after="40"/>
            </w:pPr>
            <w:r>
              <w:rPr>
                <w:sz w:val="18"/>
              </w:rPr>
              <w:t>DEFERRED — Phase 2</w:t>
            </w:r>
          </w:p>
        </w:tc>
        <w:tc>
          <w:tcPr>
            <w:tcW w:type="dxa" w:w="2340"/>
            <w:shd w:val="clear" w:color="auto" w:fill="FDFEFE"/>
          </w:tcPr>
          <w:p>
            <w:pPr>
              <w:spacing w:before="40" w:after="40"/>
            </w:pPr>
            <w:r>
              <w:rPr>
                <w:sz w:val="18"/>
              </w:rPr>
              <w:t>Fare split; WhatsApp support SLA</w:t>
            </w:r>
          </w:p>
        </w:tc>
      </w:tr>
    </w:tbl>
    <w:p/>
    <w:p>
      <w:r>
        <w:br w:type="page"/>
      </w:r>
    </w:p>
    <w:tbl>
      <w:tblPr>
        <w:tblW w:type="auto" w:w="0"/>
        <w:jc w:val="center"/>
        <w:tblLook w:firstColumn="1" w:firstRow="1" w:lastColumn="0" w:lastRow="0" w:noHBand="0" w:noVBand="1" w:val="04A0"/>
      </w:tblPr>
      <w:tblGrid>
        <w:gridCol w:w="9360"/>
      </w:tblGrid>
      <w:tr>
        <w:tc>
          <w:tcPr>
            <w:tcW w:type="dxa" w:w="9360"/>
            <w:shd w:val="clear" w:color="auto" w:fill="1A5376"/>
          </w:tcPr>
          <w:p>
            <w:pPr>
              <w:spacing w:before="200" w:after="80"/>
              <w:jc w:val="center"/>
            </w:pPr>
            <w:r>
              <w:rPr>
                <w:b/>
                <w:color w:val="FFFFFF"/>
                <w:sz w:val="30"/>
              </w:rPr>
              <w:t>02  PRODUCT-LEVEL DIFFERENTIATION</w:t>
            </w:r>
          </w:p>
          <w:p>
            <w:pPr>
              <w:spacing w:after="160"/>
              <w:jc w:val="center"/>
            </w:pPr>
            <w:r>
              <w:rPr>
                <w:i/>
                <w:color w:val="FFFFFF"/>
                <w:sz w:val="18"/>
              </w:rPr>
              <w:t>Features · Pricing psychology · Behavioral hooks · Loyalty · Risk reversal</w:t>
            </w:r>
          </w:p>
        </w:tc>
      </w:tr>
    </w:tbl>
    <w:p/>
    <w:p>
      <w:pPr>
        <w:spacing w:before="320" w:after="80"/>
      </w:pPr>
      <w:r>
        <w:rPr>
          <w:b/>
          <w:color w:val="1A5376"/>
          <w:sz w:val="28"/>
        </w:rPr>
        <w:t>2.1  Feature Architecture — Certainty, Transparency, Fairness</w:t>
      </w:r>
    </w:p>
    <w:p>
      <w:pPr>
        <w:spacing w:before="320" w:after="80"/>
      </w:pPr>
      <w:r>
        <w:rPr>
          <w:b/>
          <w:color w:val="177EA1"/>
          <w:sz w:val="23"/>
        </w:rPr>
        <w:t>WASEL LOCK™ — Pre-Trip Price Guarantee</w:t>
      </w:r>
    </w:p>
    <w:p>
      <w:r>
        <w:rPr>
          <w:i/>
          <w:color w:val="E56B1F"/>
          <w:sz w:val="18"/>
        </w:rPr>
        <w:t>Launch: P1 — Launch</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b/>
                <w:color w:val="FFFFFF"/>
                <w:sz w:val="18"/>
              </w:rPr>
              <w:t>What It Does</w:t>
            </w:r>
          </w:p>
        </w:tc>
        <w:tc>
          <w:tcPr>
            <w:tcW w:type="dxa" w:w="4680"/>
            <w:shd w:val="clear" w:color="auto" w:fill="EBF5FB"/>
          </w:tcPr>
          <w:p>
            <w:pPr>
              <w:spacing w:before="60" w:after="60"/>
            </w:pPr>
            <w:r>
              <w:rPr>
                <w:sz w:val="18"/>
              </w:rPr>
              <w:t>Full fare displayed and locked before the rider confirms the booking. No surprises at destination. The price shown is the price charged.</w:t>
            </w:r>
          </w:p>
        </w:tc>
      </w:tr>
      <w:tr>
        <w:tc>
          <w:tcPr>
            <w:tcW w:type="dxa" w:w="4680"/>
            <w:shd w:val="clear" w:color="auto" w:fill="14783E"/>
          </w:tcPr>
          <w:p>
            <w:r>
              <w:rPr>
                <w:b/>
                <w:color w:val="FFFFFF"/>
                <w:sz w:val="18"/>
              </w:rPr>
              <w:t>Why It Wins</w:t>
            </w:r>
          </w:p>
        </w:tc>
        <w:tc>
          <w:tcPr>
            <w:tcW w:type="dxa" w:w="4680"/>
            <w:shd w:val="clear" w:color="auto" w:fill="F4F6F7"/>
          </w:tcPr>
          <w:p>
            <w:pPr>
              <w:spacing w:before="60" w:after="60"/>
            </w:pPr>
            <w:r>
              <w:rPr>
                <w:sz w:val="18"/>
              </w:rPr>
              <w:t>Uber and Careem show estimated ranges; final fare can exceed estimate. In a price-sensitive market with 65% cash-preference psychology, uncertainty is a conversion killer.</w:t>
            </w:r>
          </w:p>
        </w:tc>
      </w:tr>
      <w:tr>
        <w:tc>
          <w:tcPr>
            <w:tcW w:type="dxa" w:w="4680"/>
            <w:shd w:val="clear" w:color="auto" w:fill="0D1B2A"/>
          </w:tcPr>
          <w:p>
            <w:r>
              <w:rPr>
                <w:b/>
                <w:color w:val="FFFFFF"/>
                <w:sz w:val="18"/>
              </w:rPr>
              <w:t>Measurable Impact</w:t>
            </w:r>
          </w:p>
        </w:tc>
        <w:tc>
          <w:tcPr>
            <w:tcW w:type="dxa" w:w="4680"/>
            <w:shd w:val="clear" w:color="auto" w:fill="EBF5FB"/>
          </w:tcPr>
          <w:p>
            <w:pPr>
              <w:spacing w:before="60" w:after="60"/>
            </w:pPr>
            <w:r>
              <w:rPr>
                <w:sz w:val="18"/>
              </w:rPr>
              <w:t>Eliminates #4 pain point entirely. Increases booking conversion rate by an estimated 15–22% (based on Lyft price lock rollout data, adjusted for Jordan price sensitivity).</w:t>
            </w:r>
          </w:p>
        </w:tc>
      </w:tr>
      <w:tr>
        <w:tc>
          <w:tcPr>
            <w:tcW w:type="dxa" w:w="4680"/>
            <w:shd w:val="clear" w:color="auto" w:fill="C9950A"/>
          </w:tcPr>
          <w:p>
            <w:r>
              <w:rPr>
                <w:b/>
                <w:color w:val="FFFFFF"/>
                <w:sz w:val="18"/>
              </w:rPr>
              <w:t>Document Updates Required</w:t>
            </w:r>
          </w:p>
        </w:tc>
        <w:tc>
          <w:tcPr>
            <w:tcW w:type="dxa" w:w="4680"/>
            <w:shd w:val="clear" w:color="auto" w:fill="F4F6F7"/>
          </w:tcPr>
          <w:p>
            <w:pPr>
              <w:spacing w:before="60" w:after="60"/>
            </w:pPr>
            <w:r>
              <w:rPr>
                <w:sz w:val="18"/>
              </w:rPr>
              <w:t>Pitch deck: Product slide. Financial: Rider conversion rate assumption +15% in M3+. Brand doc: Messaging — 'Price locked before you tap.'</w:t>
            </w:r>
          </w:p>
        </w:tc>
      </w:tr>
    </w:tbl>
    <w:p/>
    <w:p>
      <w:pPr>
        <w:spacing w:before="320" w:after="80"/>
      </w:pPr>
      <w:r>
        <w:rPr>
          <w:b/>
          <w:color w:val="177EA1"/>
          <w:sz w:val="23"/>
        </w:rPr>
        <w:t>WASEL SHIELD™ — Driver Reliability Score</w:t>
      </w:r>
    </w:p>
    <w:p>
      <w:r>
        <w:rPr>
          <w:i/>
          <w:color w:val="E56B1F"/>
          <w:sz w:val="18"/>
        </w:rPr>
        <w:t>Launch: P1 — Launch</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b/>
                <w:color w:val="FFFFFF"/>
                <w:sz w:val="18"/>
              </w:rPr>
              <w:t>What It Does</w:t>
            </w:r>
          </w:p>
        </w:tc>
        <w:tc>
          <w:tcPr>
            <w:tcW w:type="dxa" w:w="4680"/>
            <w:shd w:val="clear" w:color="auto" w:fill="EBF5FB"/>
          </w:tcPr>
          <w:p>
            <w:pPr>
              <w:spacing w:before="60" w:after="60"/>
            </w:pPr>
            <w:r>
              <w:rPr>
                <w:sz w:val="18"/>
              </w:rPr>
              <w:t>Every driver has a public reliability score (% of accepted rides completed, avg ETA accuracy, cancellation rate over last 30 days) visible to riders BEFORE booking.</w:t>
            </w:r>
          </w:p>
        </w:tc>
      </w:tr>
      <w:tr>
        <w:tc>
          <w:tcPr>
            <w:tcW w:type="dxa" w:w="4680"/>
            <w:shd w:val="clear" w:color="auto" w:fill="14783E"/>
          </w:tcPr>
          <w:p>
            <w:r>
              <w:rPr>
                <w:b/>
                <w:color w:val="FFFFFF"/>
                <w:sz w:val="18"/>
              </w:rPr>
              <w:t>Why It Wins</w:t>
            </w:r>
          </w:p>
        </w:tc>
        <w:tc>
          <w:tcPr>
            <w:tcW w:type="dxa" w:w="4680"/>
            <w:shd w:val="clear" w:color="auto" w:fill="F4F6F7"/>
          </w:tcPr>
          <w:p>
            <w:pPr>
              <w:spacing w:before="60" w:after="60"/>
            </w:pPr>
            <w:r>
              <w:rPr>
                <w:sz w:val="18"/>
              </w:rPr>
              <w:t>Star ratings are gamed and compressed (everyone is 4.7–4.9). A reliability score with specific sub-metrics gives riders actionable information and creates driver accountability.</w:t>
            </w:r>
          </w:p>
        </w:tc>
      </w:tr>
      <w:tr>
        <w:tc>
          <w:tcPr>
            <w:tcW w:type="dxa" w:w="4680"/>
            <w:shd w:val="clear" w:color="auto" w:fill="0D1B2A"/>
          </w:tcPr>
          <w:p>
            <w:r>
              <w:rPr>
                <w:b/>
                <w:color w:val="FFFFFF"/>
                <w:sz w:val="18"/>
              </w:rPr>
              <w:t>Measurable Impact</w:t>
            </w:r>
          </w:p>
        </w:tc>
        <w:tc>
          <w:tcPr>
            <w:tcW w:type="dxa" w:w="4680"/>
            <w:shd w:val="clear" w:color="auto" w:fill="EBF5FB"/>
          </w:tcPr>
          <w:p>
            <w:pPr>
              <w:spacing w:before="60" w:after="60"/>
            </w:pPr>
            <w:r>
              <w:rPr>
                <w:sz w:val="18"/>
              </w:rPr>
              <w:t>Reduces driver cancellation pain point (#2). Estimated 20% reduction in post-acceptance cancellations within 60 days.</w:t>
            </w:r>
          </w:p>
        </w:tc>
      </w:tr>
      <w:tr>
        <w:tc>
          <w:tcPr>
            <w:tcW w:type="dxa" w:w="4680"/>
            <w:shd w:val="clear" w:color="auto" w:fill="C9950A"/>
          </w:tcPr>
          <w:p>
            <w:r>
              <w:rPr>
                <w:b/>
                <w:color w:val="FFFFFF"/>
                <w:sz w:val="18"/>
              </w:rPr>
              <w:t>Document Updates Required</w:t>
            </w:r>
          </w:p>
        </w:tc>
        <w:tc>
          <w:tcPr>
            <w:tcW w:type="dxa" w:w="4680"/>
            <w:shd w:val="clear" w:color="auto" w:fill="F4F6F7"/>
          </w:tcPr>
          <w:p>
            <w:pPr>
              <w:spacing w:before="60" w:after="60"/>
            </w:pPr>
            <w:r>
              <w:rPr>
                <w:sz w:val="18"/>
              </w:rPr>
              <w:t>Tech roadmap: Add reliability score calculation module. Financial: Customer support ticket volume assumption −15%. Driver economics: Cancellation penalty system footnote.</w:t>
            </w:r>
          </w:p>
        </w:tc>
      </w:tr>
    </w:tbl>
    <w:p/>
    <w:p>
      <w:pPr>
        <w:spacing w:before="320" w:after="80"/>
      </w:pPr>
      <w:r>
        <w:rPr>
          <w:b/>
          <w:color w:val="177EA1"/>
          <w:sz w:val="23"/>
        </w:rPr>
        <w:t>WASEL SAFE TRIP™ — Female Rider Safety Suite</w:t>
      </w:r>
    </w:p>
    <w:p>
      <w:r>
        <w:rPr>
          <w:i/>
          <w:color w:val="E56B1F"/>
          <w:sz w:val="18"/>
        </w:rPr>
        <w:t>Launch: P1 — Launch</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b/>
                <w:color w:val="FFFFFF"/>
                <w:sz w:val="18"/>
              </w:rPr>
              <w:t>What It Does</w:t>
            </w:r>
          </w:p>
        </w:tc>
        <w:tc>
          <w:tcPr>
            <w:tcW w:type="dxa" w:w="4680"/>
            <w:shd w:val="clear" w:color="auto" w:fill="EBF5FB"/>
          </w:tcPr>
          <w:p>
            <w:pPr>
              <w:spacing w:before="60" w:after="60"/>
            </w:pPr>
            <w:r>
              <w:rPr>
                <w:sz w:val="18"/>
              </w:rPr>
              <w:t>One-tap live location share via WhatsApp to any contact. Driver photo, name, and plate displayed 90 seconds before arrival. SOS button on trip home screen (not buried in menu). Option to request female driver when available.</w:t>
            </w:r>
          </w:p>
        </w:tc>
      </w:tr>
      <w:tr>
        <w:tc>
          <w:tcPr>
            <w:tcW w:type="dxa" w:w="4680"/>
            <w:shd w:val="clear" w:color="auto" w:fill="14783E"/>
          </w:tcPr>
          <w:p>
            <w:r>
              <w:rPr>
                <w:b/>
                <w:color w:val="FFFFFF"/>
                <w:sz w:val="18"/>
              </w:rPr>
              <w:t>Why It Wins</w:t>
            </w:r>
          </w:p>
        </w:tc>
        <w:tc>
          <w:tcPr>
            <w:tcW w:type="dxa" w:w="4680"/>
            <w:shd w:val="clear" w:color="auto" w:fill="F4F6F7"/>
          </w:tcPr>
          <w:p>
            <w:pPr>
              <w:spacing w:before="60" w:after="60"/>
            </w:pPr>
            <w:r>
              <w:rPr>
                <w:sz w:val="18"/>
              </w:rPr>
              <w:t>Female riders represent ~48% of Jordan's addressable market and are systematically underserved by incumbent platforms. Safety features are not features for female riders — they are prerequisites for use.</w:t>
            </w:r>
          </w:p>
        </w:tc>
      </w:tr>
      <w:tr>
        <w:tc>
          <w:tcPr>
            <w:tcW w:type="dxa" w:w="4680"/>
            <w:shd w:val="clear" w:color="auto" w:fill="0D1B2A"/>
          </w:tcPr>
          <w:p>
            <w:r>
              <w:rPr>
                <w:b/>
                <w:color w:val="FFFFFF"/>
                <w:sz w:val="18"/>
              </w:rPr>
              <w:t>Measurable Impact</w:t>
            </w:r>
          </w:p>
        </w:tc>
        <w:tc>
          <w:tcPr>
            <w:tcW w:type="dxa" w:w="4680"/>
            <w:shd w:val="clear" w:color="auto" w:fill="EBF5FB"/>
          </w:tcPr>
          <w:p>
            <w:pPr>
              <w:spacing w:before="60" w:after="60"/>
            </w:pPr>
            <w:r>
              <w:rPr>
                <w:sz w:val="18"/>
              </w:rPr>
              <w:t>Unlocks a rider segment that currently uses ride-hailing at ~40% the rate of male riders. Conservative uplift: +35% female rider acquisition in M3–M6.</w:t>
            </w:r>
          </w:p>
        </w:tc>
      </w:tr>
      <w:tr>
        <w:tc>
          <w:tcPr>
            <w:tcW w:type="dxa" w:w="4680"/>
            <w:shd w:val="clear" w:color="auto" w:fill="C9950A"/>
          </w:tcPr>
          <w:p>
            <w:r>
              <w:rPr>
                <w:b/>
                <w:color w:val="FFFFFF"/>
                <w:sz w:val="18"/>
              </w:rPr>
              <w:t>Document Updates Required</w:t>
            </w:r>
          </w:p>
        </w:tc>
        <w:tc>
          <w:tcPr>
            <w:tcW w:type="dxa" w:w="4680"/>
            <w:shd w:val="clear" w:color="auto" w:fill="F4F6F7"/>
          </w:tcPr>
          <w:p>
            <w:pPr>
              <w:spacing w:before="60" w:after="60"/>
            </w:pPr>
            <w:r>
              <w:rPr>
                <w:sz w:val="18"/>
              </w:rPr>
              <w:t>Rider acquisition model: Female segment CAC adjustment −20% (word-of-mouth driven). Brand doc Phase 5: Photography includes female safety UI prominently. Pitch deck: TAM calculation revision upward.</w:t>
            </w:r>
          </w:p>
        </w:tc>
      </w:tr>
    </w:tbl>
    <w:p/>
    <w:p>
      <w:pPr>
        <w:spacing w:before="320" w:after="80"/>
      </w:pPr>
      <w:r>
        <w:rPr>
          <w:b/>
          <w:color w:val="177EA1"/>
          <w:sz w:val="23"/>
        </w:rPr>
        <w:t>CONFIRMED ETA™ — Real-Time Precision Arrival</w:t>
      </w:r>
    </w:p>
    <w:p>
      <w:r>
        <w:rPr>
          <w:i/>
          <w:color w:val="E56B1F"/>
          <w:sz w:val="18"/>
        </w:rPr>
        <w:t>Launch: P2 — Month 3</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b/>
                <w:color w:val="FFFFFF"/>
                <w:sz w:val="18"/>
              </w:rPr>
              <w:t>What It Does</w:t>
            </w:r>
          </w:p>
        </w:tc>
        <w:tc>
          <w:tcPr>
            <w:tcW w:type="dxa" w:w="4680"/>
            <w:shd w:val="clear" w:color="auto" w:fill="EBF5FB"/>
          </w:tcPr>
          <w:p>
            <w:pPr>
              <w:spacing w:before="60" w:after="60"/>
            </w:pPr>
            <w:r>
              <w:rPr>
                <w:sz w:val="18"/>
              </w:rPr>
              <w:t>ML-based ETA system showing a confidence interval ('Driver arrives in 4–6 minutes, 85% confidence') rather than a single number. Updates in real-time. Sends WhatsApp notification when driver is 2 minutes away.</w:t>
            </w:r>
          </w:p>
        </w:tc>
      </w:tr>
      <w:tr>
        <w:tc>
          <w:tcPr>
            <w:tcW w:type="dxa" w:w="4680"/>
            <w:shd w:val="clear" w:color="auto" w:fill="14783E"/>
          </w:tcPr>
          <w:p>
            <w:r>
              <w:rPr>
                <w:b/>
                <w:color w:val="FFFFFF"/>
                <w:sz w:val="18"/>
              </w:rPr>
              <w:t>Why It Wins</w:t>
            </w:r>
          </w:p>
        </w:tc>
        <w:tc>
          <w:tcPr>
            <w:tcW w:type="dxa" w:w="4680"/>
            <w:shd w:val="clear" w:color="auto" w:fill="F4F6F7"/>
          </w:tcPr>
          <w:p>
            <w:pPr>
              <w:spacing w:before="60" w:after="60"/>
            </w:pPr>
            <w:r>
              <w:rPr>
                <w:sz w:val="18"/>
              </w:rPr>
              <w:t>A single ETA number that is wrong destroys trust faster than not showing one at all. A confidence interval reframes accuracy expectations and builds honest rapport.</w:t>
            </w:r>
          </w:p>
        </w:tc>
      </w:tr>
      <w:tr>
        <w:tc>
          <w:tcPr>
            <w:tcW w:type="dxa" w:w="4680"/>
            <w:shd w:val="clear" w:color="auto" w:fill="0D1B2A"/>
          </w:tcPr>
          <w:p>
            <w:r>
              <w:rPr>
                <w:b/>
                <w:color w:val="FFFFFF"/>
                <w:sz w:val="18"/>
              </w:rPr>
              <w:t>Measurable Impact</w:t>
            </w:r>
          </w:p>
        </w:tc>
        <w:tc>
          <w:tcPr>
            <w:tcW w:type="dxa" w:w="4680"/>
            <w:shd w:val="clear" w:color="auto" w:fill="EBF5FB"/>
          </w:tcPr>
          <w:p>
            <w:pPr>
              <w:spacing w:before="60" w:after="60"/>
            </w:pPr>
            <w:r>
              <w:rPr>
                <w:sz w:val="18"/>
              </w:rPr>
              <w:t>Reduces rider frustration score. WhatsApp notification reduces platform-open rate (reduces battery drain perception), increases rider-readiness at pickup (reduces trip start delay).</w:t>
            </w:r>
          </w:p>
        </w:tc>
      </w:tr>
      <w:tr>
        <w:tc>
          <w:tcPr>
            <w:tcW w:type="dxa" w:w="4680"/>
            <w:shd w:val="clear" w:color="auto" w:fill="C9950A"/>
          </w:tcPr>
          <w:p>
            <w:r>
              <w:rPr>
                <w:b/>
                <w:color w:val="FFFFFF"/>
                <w:sz w:val="18"/>
              </w:rPr>
              <w:t>Document Updates Required</w:t>
            </w:r>
          </w:p>
        </w:tc>
        <w:tc>
          <w:tcPr>
            <w:tcW w:type="dxa" w:w="4680"/>
            <w:shd w:val="clear" w:color="auto" w:fill="F4F6F7"/>
          </w:tcPr>
          <w:p>
            <w:pPr>
              <w:spacing w:before="60" w:after="60"/>
            </w:pPr>
            <w:r>
              <w:rPr>
                <w:sz w:val="18"/>
              </w:rPr>
              <w:t>Tech roadmap: ML ETA engine. Financial: Maps API cost +12% (more frequent location pings). Ops: Pickup efficiency improves, driver trips/day +0.2 on average.</w:t>
            </w:r>
          </w:p>
        </w:tc>
      </w:tr>
    </w:tbl>
    <w:p/>
    <w:p>
      <w:pPr>
        <w:spacing w:before="320" w:after="80"/>
      </w:pPr>
      <w:r>
        <w:rPr>
          <w:b/>
          <w:color w:val="177EA1"/>
          <w:sz w:val="23"/>
        </w:rPr>
        <w:t>WASEL CASH BRIDGE™ — Cash-to-Digital Conversion</w:t>
      </w:r>
    </w:p>
    <w:p>
      <w:r>
        <w:rPr>
          <w:i/>
          <w:color w:val="E56B1F"/>
          <w:sz w:val="18"/>
        </w:rPr>
        <w:t>Launch: P2 — Month 4</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b/>
                <w:color w:val="FFFFFF"/>
                <w:sz w:val="18"/>
              </w:rPr>
              <w:t>What It Does</w:t>
            </w:r>
          </w:p>
        </w:tc>
        <w:tc>
          <w:tcPr>
            <w:tcW w:type="dxa" w:w="4680"/>
            <w:shd w:val="clear" w:color="auto" w:fill="EBF5FB"/>
          </w:tcPr>
          <w:p>
            <w:pPr>
              <w:spacing w:before="60" w:after="60"/>
            </w:pPr>
            <w:r>
              <w:rPr>
                <w:sz w:val="18"/>
              </w:rPr>
              <w:t>Partnership with petrol stations and pharmacies for Wasel wallet top-up with cash. JD 5, 10, 20 denominations. No bank account required. Wallet balance usable for all ride payments.</w:t>
            </w:r>
          </w:p>
        </w:tc>
      </w:tr>
      <w:tr>
        <w:tc>
          <w:tcPr>
            <w:tcW w:type="dxa" w:w="4680"/>
            <w:shd w:val="clear" w:color="auto" w:fill="14783E"/>
          </w:tcPr>
          <w:p>
            <w:r>
              <w:rPr>
                <w:b/>
                <w:color w:val="FFFFFF"/>
                <w:sz w:val="18"/>
              </w:rPr>
              <w:t>Why It Wins</w:t>
            </w:r>
          </w:p>
        </w:tc>
        <w:tc>
          <w:tcPr>
            <w:tcW w:type="dxa" w:w="4680"/>
            <w:shd w:val="clear" w:color="auto" w:fill="F4F6F7"/>
          </w:tcPr>
          <w:p>
            <w:pPr>
              <w:spacing w:before="60" w:after="60"/>
            </w:pPr>
            <w:r>
              <w:rPr>
                <w:sz w:val="18"/>
              </w:rPr>
              <w:t>65% of Jordanians prefer cash. The single largest acquisition barrier for the non-digital population is the payment wall. eFAWATEERcom and MadfooatCom serve the digitally enabled; the Cash Bridge serves everyone else.</w:t>
            </w:r>
          </w:p>
        </w:tc>
      </w:tr>
      <w:tr>
        <w:tc>
          <w:tcPr>
            <w:tcW w:type="dxa" w:w="4680"/>
            <w:shd w:val="clear" w:color="auto" w:fill="0D1B2A"/>
          </w:tcPr>
          <w:p>
            <w:r>
              <w:rPr>
                <w:b/>
                <w:color w:val="FFFFFF"/>
                <w:sz w:val="18"/>
              </w:rPr>
              <w:t>Measurable Impact</w:t>
            </w:r>
          </w:p>
        </w:tc>
        <w:tc>
          <w:tcPr>
            <w:tcW w:type="dxa" w:w="4680"/>
            <w:shd w:val="clear" w:color="auto" w:fill="EBF5FB"/>
          </w:tcPr>
          <w:p>
            <w:pPr>
              <w:spacing w:before="60" w:after="60"/>
            </w:pPr>
            <w:r>
              <w:rPr>
                <w:sz w:val="18"/>
              </w:rPr>
              <w:t>Expands TAM by an estimated 30–40% by removing the payment barrier. Conservative assumption: adds 8,000 riders in M4–M6 who would not otherwise convert.</w:t>
            </w:r>
          </w:p>
        </w:tc>
      </w:tr>
      <w:tr>
        <w:tc>
          <w:tcPr>
            <w:tcW w:type="dxa" w:w="4680"/>
            <w:shd w:val="clear" w:color="auto" w:fill="C9950A"/>
          </w:tcPr>
          <w:p>
            <w:r>
              <w:rPr>
                <w:b/>
                <w:color w:val="FFFFFF"/>
                <w:sz w:val="18"/>
              </w:rPr>
              <w:t>Document Updates Required</w:t>
            </w:r>
          </w:p>
        </w:tc>
        <w:tc>
          <w:tcPr>
            <w:tcW w:type="dxa" w:w="4680"/>
            <w:shd w:val="clear" w:color="auto" w:fill="F4F6F7"/>
          </w:tcPr>
          <w:p>
            <w:pPr>
              <w:spacing w:before="60" w:after="60"/>
            </w:pPr>
            <w:r>
              <w:rPr>
                <w:sz w:val="18"/>
              </w:rPr>
              <w:t>Financial: Rider acquisition model — add cash-wallet rider cohort with JD 2.80 lower CAC (no digital payment friction). TAM analysis: revise upward by 30%.</w:t>
            </w:r>
          </w:p>
        </w:tc>
      </w:tr>
    </w:tbl>
    <w:p/>
    <w:p>
      <w:pPr>
        <w:spacing w:before="320" w:after="80"/>
      </w:pPr>
      <w:r>
        <w:rPr>
          <w:b/>
          <w:color w:val="1A5376"/>
          <w:sz w:val="28"/>
        </w:rPr>
        <w:t>2.2  Pricing Psychology Mechanics</w:t>
      </w:r>
    </w:p>
    <w:p>
      <w:pPr>
        <w:spacing w:before="40" w:after="100"/>
      </w:pPr>
      <w:r>
        <w:rPr>
          <w:b w:val="0"/>
          <w:i w:val="0"/>
          <w:color w:val="3D3D3D"/>
          <w:sz w:val="21"/>
        </w:rPr>
        <w:t>Every pricing decision encodes a behavioral assumption. The following mechanics are designed specifically for Jordan's price sensitivity profile, cash-dominant payment culture, and social comparison dynamics.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pPr>
              <w:jc w:val="center"/>
            </w:pPr>
            <w:r>
              <w:rPr>
                <w:b/>
                <w:color w:val="FFFFFF"/>
                <w:sz w:val="19"/>
              </w:rPr>
              <w:t>Mechanic</w:t>
            </w:r>
          </w:p>
        </w:tc>
        <w:tc>
          <w:tcPr>
            <w:tcW w:type="dxa" w:w="3120"/>
            <w:shd w:val="clear" w:color="auto" w:fill="1A5376"/>
          </w:tcPr>
          <w:p>
            <w:pPr>
              <w:jc w:val="center"/>
            </w:pPr>
            <w:r>
              <w:rPr>
                <w:b/>
                <w:color w:val="FFFFFF"/>
                <w:sz w:val="19"/>
              </w:rPr>
              <w:t>Execution &amp; Rationale</w:t>
            </w:r>
          </w:p>
        </w:tc>
        <w:tc>
          <w:tcPr>
            <w:tcW w:type="dxa" w:w="3120"/>
            <w:shd w:val="clear" w:color="auto" w:fill="1A5376"/>
          </w:tcPr>
          <w:p>
            <w:pPr>
              <w:jc w:val="center"/>
            </w:pPr>
            <w:r>
              <w:rPr>
                <w:b/>
                <w:color w:val="FFFFFF"/>
                <w:sz w:val="19"/>
              </w:rPr>
              <w:t>Applies To</w:t>
            </w:r>
          </w:p>
        </w:tc>
      </w:tr>
      <w:tr>
        <w:tc>
          <w:tcPr>
            <w:tcW w:type="dxa" w:w="3120"/>
            <w:shd w:val="clear" w:color="auto" w:fill="EBF5FB"/>
          </w:tcPr>
          <w:p>
            <w:pPr>
              <w:spacing w:before="40" w:after="40"/>
            </w:pPr>
            <w:r>
              <w:rPr>
                <w:sz w:val="18"/>
              </w:rPr>
              <w:t>Charm Pricing with Integrity</w:t>
            </w:r>
          </w:p>
        </w:tc>
        <w:tc>
          <w:tcPr>
            <w:tcW w:type="dxa" w:w="3120"/>
            <w:shd w:val="clear" w:color="auto" w:fill="EBF5FB"/>
          </w:tcPr>
          <w:p>
            <w:pPr>
              <w:spacing w:before="40" w:after="40"/>
            </w:pPr>
            <w:r>
              <w:rPr>
                <w:sz w:val="18"/>
              </w:rPr>
              <w:t>Set Wasel Go at JD 4.99, not JD 5. Set Wasel Pass at JD 9.99, not JD 10. Trivial to execute, measurable conversion lift (3–8% based on MENA e-commerce data). Integrity note: the savings claim must remain accurate post-charm pricing.</w:t>
            </w:r>
          </w:p>
        </w:tc>
        <w:tc>
          <w:tcPr>
            <w:tcW w:type="dxa" w:w="3120"/>
            <w:shd w:val="clear" w:color="auto" w:fill="EBF5FB"/>
          </w:tcPr>
          <w:p>
            <w:pPr>
              <w:spacing w:before="40" w:after="40"/>
            </w:pPr>
            <w:r>
              <w:rPr>
                <w:sz w:val="18"/>
              </w:rPr>
              <w:t>Subscription pricing</w:t>
            </w:r>
          </w:p>
        </w:tc>
      </w:tr>
      <w:tr>
        <w:tc>
          <w:tcPr>
            <w:tcW w:type="dxa" w:w="3120"/>
            <w:shd w:val="clear" w:color="auto" w:fill="FDFEFE"/>
          </w:tcPr>
          <w:p>
            <w:pPr>
              <w:spacing w:before="40" w:after="40"/>
            </w:pPr>
            <w:r>
              <w:rPr>
                <w:sz w:val="18"/>
              </w:rPr>
              <w:t>Break-Even Framing</w:t>
            </w:r>
          </w:p>
        </w:tc>
        <w:tc>
          <w:tcPr>
            <w:tcW w:type="dxa" w:w="3120"/>
            <w:shd w:val="clear" w:color="auto" w:fill="FDFEFE"/>
          </w:tcPr>
          <w:p>
            <w:pPr>
              <w:spacing w:before="40" w:after="40"/>
            </w:pPr>
            <w:r>
              <w:rPr>
                <w:sz w:val="18"/>
              </w:rPr>
              <w:t>Show the subscriber the exact number of rides at which their subscription 'pays for itself.' Wasel Go: 'After 21 rides, every ride is free savings.' This reframes the subscription from a cost to an investment. Update monthly in-app based on actual usage.</w:t>
            </w:r>
          </w:p>
        </w:tc>
        <w:tc>
          <w:tcPr>
            <w:tcW w:type="dxa" w:w="3120"/>
            <w:shd w:val="clear" w:color="auto" w:fill="FDFEFE"/>
          </w:tcPr>
          <w:p>
            <w:pPr>
              <w:spacing w:before="40" w:after="40"/>
            </w:pPr>
            <w:r>
              <w:rPr>
                <w:sz w:val="18"/>
              </w:rPr>
              <w:t>Subscription landing page + in-app</w:t>
            </w:r>
          </w:p>
        </w:tc>
      </w:tr>
      <w:tr>
        <w:tc>
          <w:tcPr>
            <w:tcW w:type="dxa" w:w="3120"/>
            <w:shd w:val="clear" w:color="auto" w:fill="EBF5FB"/>
          </w:tcPr>
          <w:p>
            <w:pPr>
              <w:spacing w:before="40" w:after="40"/>
            </w:pPr>
            <w:r>
              <w:rPr>
                <w:sz w:val="18"/>
              </w:rPr>
              <w:t>Anchoring via Competitor Comparison</w:t>
            </w:r>
          </w:p>
        </w:tc>
        <w:tc>
          <w:tcPr>
            <w:tcW w:type="dxa" w:w="3120"/>
            <w:shd w:val="clear" w:color="auto" w:fill="EBF5FB"/>
          </w:tcPr>
          <w:p>
            <w:pPr>
              <w:spacing w:before="40" w:after="40"/>
            </w:pPr>
            <w:r>
              <w:rPr>
                <w:sz w:val="18"/>
              </w:rPr>
              <w:t>Display: 'Your last 5 rides on Uber would have cost you JD 12.50 in commission extracted from your driver. On Wasel, that same driver kept it all.' This anchors the rider's willingness-to-pay against the perception of value destruction elsewhere.</w:t>
            </w:r>
          </w:p>
        </w:tc>
        <w:tc>
          <w:tcPr>
            <w:tcW w:type="dxa" w:w="3120"/>
            <w:shd w:val="clear" w:color="auto" w:fill="EBF5FB"/>
          </w:tcPr>
          <w:p>
            <w:pPr>
              <w:spacing w:before="40" w:after="40"/>
            </w:pPr>
            <w:r>
              <w:rPr>
                <w:sz w:val="18"/>
              </w:rPr>
              <w:t>In-app post-ride screen</w:t>
            </w:r>
          </w:p>
        </w:tc>
      </w:tr>
      <w:tr>
        <w:tc>
          <w:tcPr>
            <w:tcW w:type="dxa" w:w="3120"/>
            <w:shd w:val="clear" w:color="auto" w:fill="FDFEFE"/>
          </w:tcPr>
          <w:p>
            <w:pPr>
              <w:spacing w:before="40" w:after="40"/>
            </w:pPr>
            <w:r>
              <w:rPr>
                <w:sz w:val="18"/>
              </w:rPr>
              <w:t>Loss Aversion on Surge</w:t>
            </w:r>
          </w:p>
        </w:tc>
        <w:tc>
          <w:tcPr>
            <w:tcW w:type="dxa" w:w="3120"/>
            <w:shd w:val="clear" w:color="auto" w:fill="FDFEFE"/>
          </w:tcPr>
          <w:p>
            <w:pPr>
              <w:spacing w:before="40" w:after="40"/>
            </w:pPr>
            <w:r>
              <w:rPr>
                <w:sz w:val="18"/>
              </w:rPr>
              <w:t>During surge periods on Wasel Standard, show: 'Wasel Pass would have saved you JD 1.80 on this ride. Upgrade now?' The message appears at the moment of highest pain (during a surge) — peak loss aversion state.</w:t>
            </w:r>
          </w:p>
        </w:tc>
        <w:tc>
          <w:tcPr>
            <w:tcW w:type="dxa" w:w="3120"/>
            <w:shd w:val="clear" w:color="auto" w:fill="FDFEFE"/>
          </w:tcPr>
          <w:p>
            <w:pPr>
              <w:spacing w:before="40" w:after="40"/>
            </w:pPr>
            <w:r>
              <w:rPr>
                <w:sz w:val="18"/>
              </w:rPr>
              <w:t>In-app surge notification</w:t>
            </w:r>
          </w:p>
        </w:tc>
      </w:tr>
      <w:tr>
        <w:tc>
          <w:tcPr>
            <w:tcW w:type="dxa" w:w="3120"/>
            <w:shd w:val="clear" w:color="auto" w:fill="EBF5FB"/>
          </w:tcPr>
          <w:p>
            <w:pPr>
              <w:spacing w:before="40" w:after="40"/>
            </w:pPr>
            <w:r>
              <w:rPr>
                <w:sz w:val="18"/>
              </w:rPr>
              <w:t>Decoy Pricing Architecture</w:t>
            </w:r>
          </w:p>
        </w:tc>
        <w:tc>
          <w:tcPr>
            <w:tcW w:type="dxa" w:w="3120"/>
            <w:shd w:val="clear" w:color="auto" w:fill="EBF5FB"/>
          </w:tcPr>
          <w:p>
            <w:pPr>
              <w:spacing w:before="40" w:after="40"/>
            </w:pPr>
            <w:r>
              <w:rPr>
                <w:sz w:val="18"/>
              </w:rPr>
              <w:t>3-tier structure: Standard (JD 0) · Go (JD 4.99) · Pass (JD 9.99). The Standard tier exists to make Go feel cheap. Go exists to make Pass feel reasonable. Decoy effect drives 15–25% more upgrades to Pass.</w:t>
            </w:r>
          </w:p>
        </w:tc>
        <w:tc>
          <w:tcPr>
            <w:tcW w:type="dxa" w:w="3120"/>
            <w:shd w:val="clear" w:color="auto" w:fill="EBF5FB"/>
          </w:tcPr>
          <w:p>
            <w:pPr>
              <w:spacing w:before="40" w:after="40"/>
            </w:pPr>
            <w:r>
              <w:rPr>
                <w:sz w:val="18"/>
              </w:rPr>
              <w:t>Subscription paywall screen</w:t>
            </w:r>
          </w:p>
        </w:tc>
      </w:tr>
      <w:tr>
        <w:tc>
          <w:tcPr>
            <w:tcW w:type="dxa" w:w="3120"/>
            <w:shd w:val="clear" w:color="auto" w:fill="FDFEFE"/>
          </w:tcPr>
          <w:p>
            <w:pPr>
              <w:spacing w:before="40" w:after="40"/>
            </w:pPr>
            <w:r>
              <w:rPr>
                <w:sz w:val="18"/>
              </w:rPr>
              <w:t>Micro-Perk Velocity</w:t>
            </w:r>
          </w:p>
        </w:tc>
        <w:tc>
          <w:tcPr>
            <w:tcW w:type="dxa" w:w="3120"/>
            <w:shd w:val="clear" w:color="auto" w:fill="FDFEFE"/>
          </w:tcPr>
          <w:p>
            <w:pPr>
              <w:spacing w:before="40" w:after="40"/>
            </w:pPr>
            <w:r>
              <w:rPr>
                <w:sz w:val="18"/>
              </w:rPr>
              <w:t>Weekly micro-perks: 'This week only — 1 free ride on Wasel Go.' Delivered via WhatsApp. Costs JD 2.37. Generates a re-engagement event. LTV value of re-engaged dormant rider: JD 48+.</w:t>
            </w:r>
          </w:p>
        </w:tc>
        <w:tc>
          <w:tcPr>
            <w:tcW w:type="dxa" w:w="3120"/>
            <w:shd w:val="clear" w:color="auto" w:fill="FDFEFE"/>
          </w:tcPr>
          <w:p>
            <w:pPr>
              <w:spacing w:before="40" w:after="40"/>
            </w:pPr>
            <w:r>
              <w:rPr>
                <w:sz w:val="18"/>
              </w:rPr>
              <w:t>WhatsApp CRM system</w:t>
            </w:r>
          </w:p>
        </w:tc>
      </w:tr>
    </w:tbl>
    <w:p/>
    <w:p>
      <w:pPr>
        <w:spacing w:before="320" w:after="80"/>
      </w:pPr>
      <w:r>
        <w:rPr>
          <w:b/>
          <w:color w:val="1A5376"/>
          <w:sz w:val="28"/>
        </w:rPr>
        <w:t>2.3  Behavioral Hooks — Habit Loop Formation</w:t>
      </w:r>
    </w:p>
    <w:p>
      <w:pPr>
        <w:spacing w:before="40" w:after="100"/>
      </w:pPr>
      <w:r>
        <w:rPr>
          <w:b w:val="0"/>
          <w:i w:val="0"/>
          <w:color w:val="3D3D3D"/>
          <w:sz w:val="21"/>
        </w:rPr>
        <w:t>The habit loop (cue → routine → reward) must be engineered into the product from day one. Uber's moat is not quality — it is habit. Break the habit by replacing it with a superior one.</w:t>
      </w:r>
    </w:p>
    <w:p>
      <w:pPr>
        <w:pStyle w:val="ListBullet"/>
        <w:spacing w:before="20" w:after="40"/>
      </w:pPr>
      <w:r>
        <w:rPr>
          <w:b/>
          <w:color w:val="177EA1"/>
          <w:sz w:val="20"/>
        </w:rPr>
        <w:t xml:space="preserve">Cue: Morning Commute Trigger:  </w:t>
      </w:r>
      <w:r>
        <w:rPr>
          <w:color w:val="3D3D3D"/>
          <w:sz w:val="20"/>
        </w:rPr>
        <w:t>Monday–Friday, 7:15am: WhatsApp message — 'Good morning. Your usual route to [work area] in 4 min. Tap to book.' Pre-populated with last known destination. One tap. Zero friction.  [Behavioral hook: Routine]</w:t>
      </w:r>
    </w:p>
    <w:p>
      <w:pPr>
        <w:pStyle w:val="ListBullet"/>
        <w:spacing w:before="20" w:after="40"/>
      </w:pPr>
      <w:r>
        <w:rPr>
          <w:b/>
          <w:color w:val="177EA1"/>
          <w:sz w:val="20"/>
        </w:rPr>
        <w:t xml:space="preserve">Cue: Late Night Safety Ping:  </w:t>
      </w:r>
      <w:r>
        <w:rPr>
          <w:color w:val="3D3D3D"/>
          <w:sz w:val="20"/>
        </w:rPr>
        <w:t>After 10pm, if no active trip: 'Getting home safely tonight? Wasel driver 3 min away.' Female riders: 'Safe ride home — driver [Name], plate [X], your contact gets a live link.' Addresses safety pain point as a proactive act of care.  [Behavioral hook: Anxiety relief → habit]</w:t>
      </w:r>
    </w:p>
    <w:p>
      <w:pPr>
        <w:pStyle w:val="ListBullet"/>
        <w:spacing w:before="20" w:after="40"/>
      </w:pPr>
      <w:r>
        <w:rPr>
          <w:b/>
          <w:color w:val="177EA1"/>
          <w:sz w:val="20"/>
        </w:rPr>
        <w:t xml:space="preserve">Routine: Favorite Driver System:  </w:t>
      </w:r>
      <w:r>
        <w:rPr>
          <w:color w:val="3D3D3D"/>
          <w:sz w:val="20"/>
        </w:rPr>
        <w:t>After 3 trips with the same driver rated 4.5+, Wasel prompts: 'Pin [Name] as your preferred driver?' Preferred drivers get first dispatch priority to that rider. Creates a 'my driver' relationship that is platform-specific and non-portable.  [Retention hook: Sunk cost via relationship]</w:t>
      </w:r>
    </w:p>
    <w:p>
      <w:pPr>
        <w:pStyle w:val="ListBullet"/>
        <w:spacing w:before="20" w:after="40"/>
      </w:pPr>
      <w:r>
        <w:rPr>
          <w:b/>
          <w:color w:val="177EA1"/>
          <w:sz w:val="20"/>
        </w:rPr>
        <w:t xml:space="preserve">Reward: Streak Mechanics:  </w:t>
      </w:r>
      <w:r>
        <w:rPr>
          <w:color w:val="3D3D3D"/>
          <w:sz w:val="20"/>
        </w:rPr>
        <w:t>Complete 5 rides in a week → 'Week streak unlocked. Next week's first ride is 15% off.' Not points. A streak. Streaks have social share potential. Points don't. WhatsApp-shareable streak card.  [Engagement hook: Gamification]</w:t>
      </w:r>
    </w:p>
    <w:p>
      <w:pPr>
        <w:pStyle w:val="ListBullet"/>
        <w:spacing w:before="20" w:after="40"/>
      </w:pPr>
      <w:r>
        <w:rPr>
          <w:b/>
          <w:color w:val="177EA1"/>
          <w:sz w:val="20"/>
        </w:rPr>
        <w:t xml:space="preserve">Variable Reward: Surprise &amp; Delight:  </w:t>
      </w:r>
      <w:r>
        <w:rPr>
          <w:color w:val="3D3D3D"/>
          <w:sz w:val="20"/>
        </w:rPr>
        <w:t>1 in 12 rides randomly triggers: 'This one's on us. Ride credited to your account.' JD 2.37 cost to Wasel. Psychological value: 8–12× cost (surprise reward &gt; expected reward per behavioral economics literature).  [Loyalty hook: Variable reinforcement]</w:t>
      </w:r>
    </w:p>
    <w:p>
      <w:pPr>
        <w:pStyle w:val="ListBullet"/>
        <w:spacing w:before="20" w:after="40"/>
      </w:pPr>
      <w:r>
        <w:rPr>
          <w:b/>
          <w:color w:val="177EA1"/>
          <w:sz w:val="20"/>
        </w:rPr>
        <w:t xml:space="preserve">Social Proof Loop:  </w:t>
      </w:r>
      <w:r>
        <w:rPr>
          <w:color w:val="3D3D3D"/>
          <w:sz w:val="20"/>
        </w:rPr>
        <w:t>Post-ride: 'You just saved JD 0.43 vs. Uber's estimated fare. 847 Wasel riders saved JD 12,300 this week.' Social proof anchored to economic reality, not political sentiment.  [Engagement hook: Social comparison]</w:t>
      </w:r>
    </w:p>
    <w:p>
      <w:pPr>
        <w:spacing w:before="320" w:after="80"/>
      </w:pPr>
      <w:r>
        <w:rPr>
          <w:b/>
          <w:color w:val="1A5376"/>
          <w:sz w:val="28"/>
        </w:rPr>
        <w:t>2.4  Loyalty Architecture — Beyond Points</w:t>
      </w:r>
    </w:p>
    <w:p>
      <w:pPr>
        <w:spacing w:before="40" w:after="100"/>
      </w:pPr>
      <w:r>
        <w:rPr>
          <w:b w:val="0"/>
          <w:i w:val="0"/>
          <w:color w:val="3D3D3D"/>
          <w:sz w:val="21"/>
        </w:rPr>
        <w:t>Points systems create transactional loyalty. The target is identity-based loyalty — the rider who says 'I'm a Wasel rider' the same way people say 'I'm an Apple person.' Three layers: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tcPr>
          <w:p>
            <w:r>
              <w:rPr>
                <w:b/>
                <w:color w:val="FFFFFF"/>
                <w:sz w:val="18"/>
              </w:rPr>
              <w:t>Layer 1: TIER IDENTITY</w:t>
            </w:r>
          </w:p>
        </w:tc>
        <w:tc>
          <w:tcPr>
            <w:tcW w:type="dxa" w:w="3120"/>
            <w:shd w:val="clear" w:color="auto" w:fill="EBF5FB"/>
          </w:tcPr>
          <w:p>
            <w:r>
              <w:rPr>
                <w:sz w:val="18"/>
              </w:rPr>
              <w:t>Rider tier (Standard → Go → Pass → VIP) is visible on the rider profile, in the post-trip screen, and in the Wasel app home. It is not hidden in a loyalty menu. It is the rider's identity on the platform. Visible tier creates status motivation to upgrade.</w:t>
            </w:r>
          </w:p>
        </w:tc>
        <w:tc>
          <w:tcPr>
            <w:tcW w:type="dxa" w:w="3120"/>
            <w:shd w:val="clear" w:color="auto" w:fill="FEF9E7"/>
          </w:tcPr>
          <w:p>
            <w:r>
              <w:rPr>
                <w:i/>
                <w:color w:val="E56B1F"/>
                <w:sz w:val="17"/>
              </w:rPr>
              <w:t>Timeline: Immediate — P1 launch</w:t>
            </w:r>
          </w:p>
        </w:tc>
      </w:tr>
    </w:tbl>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tcPr>
          <w:p>
            <w:r>
              <w:rPr>
                <w:b/>
                <w:color w:val="FFFFFF"/>
                <w:sz w:val="18"/>
              </w:rPr>
              <w:t>Layer 2: HISTORY AS ASSET</w:t>
            </w:r>
          </w:p>
        </w:tc>
        <w:tc>
          <w:tcPr>
            <w:tcW w:type="dxa" w:w="3120"/>
            <w:shd w:val="clear" w:color="auto" w:fill="EBF5FB"/>
          </w:tcPr>
          <w:p>
            <w:r>
              <w:rPr>
                <w:sz w:val="18"/>
              </w:rPr>
              <w:t>All trip history, favorite drivers, saved addresses, wallet balance, and subscription savings are stored as 'Your Wasel Portfolio.' This portfolio is non-transferable. A rider who leaves Wasel walks away from their accumulated identity. Switching cost is invisible but real.</w:t>
            </w:r>
          </w:p>
        </w:tc>
        <w:tc>
          <w:tcPr>
            <w:tcW w:type="dxa" w:w="3120"/>
            <w:shd w:val="clear" w:color="auto" w:fill="FEF9E7"/>
          </w:tcPr>
          <w:p>
            <w:r>
              <w:rPr>
                <w:i/>
                <w:color w:val="E56B1F"/>
                <w:sz w:val="17"/>
              </w:rPr>
              <w:t>Timeline: P1 launch — builds over time</w:t>
            </w:r>
          </w:p>
        </w:tc>
      </w:tr>
    </w:tbl>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tcPr>
          <w:p>
            <w:r>
              <w:rPr>
                <w:b/>
                <w:color w:val="FFFFFF"/>
                <w:sz w:val="18"/>
              </w:rPr>
              <w:t>Layer 3: COMMUNITY BELONGING</w:t>
            </w:r>
          </w:p>
        </w:tc>
        <w:tc>
          <w:tcPr>
            <w:tcW w:type="dxa" w:w="3120"/>
            <w:shd w:val="clear" w:color="auto" w:fill="EBF5FB"/>
          </w:tcPr>
          <w:p>
            <w:r>
              <w:rPr>
                <w:sz w:val="18"/>
              </w:rPr>
              <w:t>Monthly: 'Wasel riders in Amman completed 186,000 trips last month. Together, you put JD 142,000 more into driver pockets than Uber's model would have.' This gives every rider a sense of collective economic impact. Not political. Purely financial.</w:t>
            </w:r>
          </w:p>
        </w:tc>
        <w:tc>
          <w:tcPr>
            <w:tcW w:type="dxa" w:w="3120"/>
            <w:shd w:val="clear" w:color="auto" w:fill="FEF9E7"/>
          </w:tcPr>
          <w:p>
            <w:r>
              <w:rPr>
                <w:i/>
                <w:color w:val="E56B1F"/>
                <w:sz w:val="17"/>
              </w:rPr>
              <w:t>Timeline: Monthly Fairness Report integration</w:t>
            </w:r>
          </w:p>
        </w:tc>
      </w:tr>
    </w:tbl>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tcPr>
          <w:p>
            <w:r>
              <w:rPr>
                <w:b/>
                <w:color w:val="FFFFFF"/>
                <w:sz w:val="18"/>
              </w:rPr>
              <w:t>Layer 4: EARNED PERKS CASCADE</w:t>
            </w:r>
          </w:p>
        </w:tc>
        <w:tc>
          <w:tcPr>
            <w:tcW w:type="dxa" w:w="3120"/>
            <w:shd w:val="clear" w:color="auto" w:fill="EBF5FB"/>
          </w:tcPr>
          <w:p>
            <w:r>
              <w:rPr>
                <w:sz w:val="18"/>
              </w:rPr>
              <w:t>After 50 cumulative trips: unlock airport queue access. After 100: free upgrade to Pass for one month. After 200: 'Wasel VIP' tag, visible to drivers (affects dispatch priority). Milestones are non-resettable — leaving and returning does not restore them on a competing platform.</w:t>
            </w:r>
          </w:p>
        </w:tc>
        <w:tc>
          <w:tcPr>
            <w:tcW w:type="dxa" w:w="3120"/>
            <w:shd w:val="clear" w:color="auto" w:fill="FEF9E7"/>
          </w:tcPr>
          <w:p>
            <w:r>
              <w:rPr>
                <w:i/>
                <w:color w:val="E56B1F"/>
                <w:sz w:val="17"/>
              </w:rPr>
              <w:t>Timeline: P2 — Month 3+</w:t>
            </w:r>
          </w:p>
        </w:tc>
      </w:tr>
    </w:tbl>
    <w:p/>
    <w:p>
      <w:pPr>
        <w:spacing w:before="320" w:after="80"/>
      </w:pPr>
      <w:r>
        <w:rPr>
          <w:b/>
          <w:color w:val="1A5376"/>
          <w:sz w:val="28"/>
        </w:rPr>
        <w:t>2.5  Risk Reversal Strategies</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b/>
                <w:color w:val="FFFFFF"/>
                <w:sz w:val="18"/>
              </w:rPr>
              <w:t>Guarantee</w:t>
            </w:r>
          </w:p>
        </w:tc>
        <w:tc>
          <w:tcPr>
            <w:tcW w:type="dxa" w:w="4680"/>
            <w:shd w:val="clear" w:color="auto" w:fill="EBF5FB"/>
          </w:tcPr>
          <w:p>
            <w:pPr>
              <w:spacing w:before="40" w:after="40"/>
            </w:pPr>
            <w:r>
              <w:rPr>
                <w:sz w:val="18"/>
              </w:rPr>
              <w:t>First Ride Guarantee</w:t>
            </w:r>
          </w:p>
        </w:tc>
      </w:tr>
      <w:tr>
        <w:tc>
          <w:tcPr>
            <w:tcW w:type="dxa" w:w="4680"/>
            <w:shd w:val="clear" w:color="auto" w:fill="14783E"/>
          </w:tcPr>
          <w:p>
            <w:r>
              <w:rPr>
                <w:b/>
                <w:color w:val="FFFFFF"/>
                <w:sz w:val="18"/>
              </w:rPr>
              <w:t>Rationale</w:t>
            </w:r>
          </w:p>
        </w:tc>
        <w:tc>
          <w:tcPr>
            <w:tcW w:type="dxa" w:w="4680"/>
            <w:shd w:val="clear" w:color="auto" w:fill="F4F6F7"/>
          </w:tcPr>
          <w:p>
            <w:pPr>
              <w:spacing w:before="40" w:after="40"/>
            </w:pPr>
            <w:r>
              <w:rPr>
                <w:sz w:val="18"/>
              </w:rPr>
              <w:t>If the first ride experience is rated below 4.0, the fare is fully credited. No questions. Communicated upfront in onboarding. Converts the first ride from a risk event to a risk-free trial.</w:t>
            </w:r>
          </w:p>
        </w:tc>
      </w:tr>
      <w:tr>
        <w:tc>
          <w:tcPr>
            <w:tcW w:type="dxa" w:w="4680"/>
            <w:shd w:val="clear" w:color="auto" w:fill="C9950A"/>
          </w:tcPr>
          <w:p>
            <w:r>
              <w:rPr>
                <w:b/>
                <w:color w:val="FFFFFF"/>
                <w:sz w:val="18"/>
              </w:rPr>
              <w:t>Financial Impact</w:t>
            </w:r>
          </w:p>
        </w:tc>
        <w:tc>
          <w:tcPr>
            <w:tcW w:type="dxa" w:w="4680"/>
            <w:shd w:val="clear" w:color="auto" w:fill="EBF5FB"/>
          </w:tcPr>
          <w:p>
            <w:pPr>
              <w:spacing w:before="40" w:after="40"/>
            </w:pPr>
            <w:r>
              <w:rPr>
                <w:sz w:val="18"/>
              </w:rPr>
              <w:t>Financial impact: ~3% of M1 riders trigger this. Cost: ~JD 500 in M1. Acquisition value: significantly higher conversion rate on the fence-sitters.</w:t>
            </w:r>
          </w:p>
        </w:tc>
      </w:tr>
      <w:tr>
        <w:tc>
          <w:tcPr>
            <w:tcW w:type="dxa" w:w="4680"/>
            <w:shd w:val="clear" w:color="auto" w:fill="0D1B2A"/>
          </w:tcPr>
          <w:p>
            <w:r>
              <w:rPr>
                <w:b/>
                <w:color w:val="FFFFFF"/>
                <w:sz w:val="18"/>
              </w:rPr>
              <w:t>Launch Phase</w:t>
            </w:r>
          </w:p>
        </w:tc>
        <w:tc>
          <w:tcPr>
            <w:tcW w:type="dxa" w:w="4680"/>
            <w:shd w:val="clear" w:color="auto" w:fill="FEF9E7"/>
          </w:tcPr>
          <w:p>
            <w:r>
              <w:rPr>
                <w:i/>
                <w:color w:val="E56B1F"/>
                <w:sz w:val="18"/>
              </w:rPr>
              <w:t>Launch — M1</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b/>
                <w:color w:val="FFFFFF"/>
                <w:sz w:val="18"/>
              </w:rPr>
              <w:t>Guarantee</w:t>
            </w:r>
          </w:p>
        </w:tc>
        <w:tc>
          <w:tcPr>
            <w:tcW w:type="dxa" w:w="4680"/>
            <w:shd w:val="clear" w:color="auto" w:fill="EBF5FB"/>
          </w:tcPr>
          <w:p>
            <w:pPr>
              <w:spacing w:before="40" w:after="40"/>
            </w:pPr>
            <w:r>
              <w:rPr>
                <w:sz w:val="18"/>
              </w:rPr>
              <w:t>Surge Shield Guarantee</w:t>
            </w:r>
          </w:p>
        </w:tc>
      </w:tr>
      <w:tr>
        <w:tc>
          <w:tcPr>
            <w:tcW w:type="dxa" w:w="4680"/>
            <w:shd w:val="clear" w:color="auto" w:fill="14783E"/>
          </w:tcPr>
          <w:p>
            <w:r>
              <w:rPr>
                <w:b/>
                <w:color w:val="FFFFFF"/>
                <w:sz w:val="18"/>
              </w:rPr>
              <w:t>Rationale</w:t>
            </w:r>
          </w:p>
        </w:tc>
        <w:tc>
          <w:tcPr>
            <w:tcW w:type="dxa" w:w="4680"/>
            <w:shd w:val="clear" w:color="auto" w:fill="F4F6F7"/>
          </w:tcPr>
          <w:p>
            <w:pPr>
              <w:spacing w:before="40" w:after="40"/>
            </w:pPr>
            <w:r>
              <w:rPr>
                <w:sz w:val="18"/>
              </w:rPr>
              <w:t>For Wasel Pass subscribers: 'If your fare ever exceeds our standard rate by more than JD 0.50, the excess is automatically refunded within 24 hours.' Creates a zero-risk premium feel for Pass subscribers.</w:t>
            </w:r>
          </w:p>
        </w:tc>
      </w:tr>
      <w:tr>
        <w:tc>
          <w:tcPr>
            <w:tcW w:type="dxa" w:w="4680"/>
            <w:shd w:val="clear" w:color="auto" w:fill="C9950A"/>
          </w:tcPr>
          <w:p>
            <w:r>
              <w:rPr>
                <w:b/>
                <w:color w:val="FFFFFF"/>
                <w:sz w:val="18"/>
              </w:rPr>
              <w:t>Financial Impact</w:t>
            </w:r>
          </w:p>
        </w:tc>
        <w:tc>
          <w:tcPr>
            <w:tcW w:type="dxa" w:w="4680"/>
            <w:shd w:val="clear" w:color="auto" w:fill="EBF5FB"/>
          </w:tcPr>
          <w:p>
            <w:pPr>
              <w:spacing w:before="40" w:after="40"/>
            </w:pPr>
            <w:r>
              <w:rPr>
                <w:sz w:val="18"/>
              </w:rPr>
              <w:t>Financial impact: In a properly engineered surge cap model, this triggers &lt;2% of Pass rides. Cost is minimal; trust value is substantial.</w:t>
            </w:r>
          </w:p>
        </w:tc>
      </w:tr>
      <w:tr>
        <w:tc>
          <w:tcPr>
            <w:tcW w:type="dxa" w:w="4680"/>
            <w:shd w:val="clear" w:color="auto" w:fill="0D1B2A"/>
          </w:tcPr>
          <w:p>
            <w:r>
              <w:rPr>
                <w:b/>
                <w:color w:val="FFFFFF"/>
                <w:sz w:val="18"/>
              </w:rPr>
              <w:t>Launch Phase</w:t>
            </w:r>
          </w:p>
        </w:tc>
        <w:tc>
          <w:tcPr>
            <w:tcW w:type="dxa" w:w="4680"/>
            <w:shd w:val="clear" w:color="auto" w:fill="FEF9E7"/>
          </w:tcPr>
          <w:p>
            <w:r>
              <w:rPr>
                <w:i/>
                <w:color w:val="E56B1F"/>
                <w:sz w:val="18"/>
              </w:rPr>
              <w:t>P1 — Pass tier only</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b/>
                <w:color w:val="FFFFFF"/>
                <w:sz w:val="18"/>
              </w:rPr>
              <w:t>Guarantee</w:t>
            </w:r>
          </w:p>
        </w:tc>
        <w:tc>
          <w:tcPr>
            <w:tcW w:type="dxa" w:w="4680"/>
            <w:shd w:val="clear" w:color="auto" w:fill="EBF5FB"/>
          </w:tcPr>
          <w:p>
            <w:pPr>
              <w:spacing w:before="40" w:after="40"/>
            </w:pPr>
            <w:r>
              <w:rPr>
                <w:sz w:val="18"/>
              </w:rPr>
              <w:t>Cancellation Refund Protocol</w:t>
            </w:r>
          </w:p>
        </w:tc>
      </w:tr>
      <w:tr>
        <w:tc>
          <w:tcPr>
            <w:tcW w:type="dxa" w:w="4680"/>
            <w:shd w:val="clear" w:color="auto" w:fill="14783E"/>
          </w:tcPr>
          <w:p>
            <w:r>
              <w:rPr>
                <w:b/>
                <w:color w:val="FFFFFF"/>
                <w:sz w:val="18"/>
              </w:rPr>
              <w:t>Rationale</w:t>
            </w:r>
          </w:p>
        </w:tc>
        <w:tc>
          <w:tcPr>
            <w:tcW w:type="dxa" w:w="4680"/>
            <w:shd w:val="clear" w:color="auto" w:fill="F4F6F7"/>
          </w:tcPr>
          <w:p>
            <w:pPr>
              <w:spacing w:before="40" w:after="40"/>
            </w:pPr>
            <w:r>
              <w:rPr>
                <w:sz w:val="18"/>
              </w:rPr>
              <w:t>If a driver cancels after 5+ minutes of rider waiting: automatic JD 1.00 wallet credit, no rider action required. Pushes cancellation pain cost onto the platform's P&amp;L — exactly where it belongs.</w:t>
            </w:r>
          </w:p>
        </w:tc>
      </w:tr>
      <w:tr>
        <w:tc>
          <w:tcPr>
            <w:tcW w:type="dxa" w:w="4680"/>
            <w:shd w:val="clear" w:color="auto" w:fill="C9950A"/>
          </w:tcPr>
          <w:p>
            <w:r>
              <w:rPr>
                <w:b/>
                <w:color w:val="FFFFFF"/>
                <w:sz w:val="18"/>
              </w:rPr>
              <w:t>Financial Impact</w:t>
            </w:r>
          </w:p>
        </w:tc>
        <w:tc>
          <w:tcPr>
            <w:tcW w:type="dxa" w:w="4680"/>
            <w:shd w:val="clear" w:color="auto" w:fill="EBF5FB"/>
          </w:tcPr>
          <w:p>
            <w:pPr>
              <w:spacing w:before="40" w:after="40"/>
            </w:pPr>
            <w:r>
              <w:rPr>
                <w:sz w:val="18"/>
              </w:rPr>
              <w:t>Financial impact: JD 0.30 net cost per incident (JD 1.00 credit × 30% retention value captured). Revenue protection via churn prevention.</w:t>
            </w:r>
          </w:p>
        </w:tc>
      </w:tr>
      <w:tr>
        <w:tc>
          <w:tcPr>
            <w:tcW w:type="dxa" w:w="4680"/>
            <w:shd w:val="clear" w:color="auto" w:fill="0D1B2A"/>
          </w:tcPr>
          <w:p>
            <w:r>
              <w:rPr>
                <w:b/>
                <w:color w:val="FFFFFF"/>
                <w:sz w:val="18"/>
              </w:rPr>
              <w:t>Launch Phase</w:t>
            </w:r>
          </w:p>
        </w:tc>
        <w:tc>
          <w:tcPr>
            <w:tcW w:type="dxa" w:w="4680"/>
            <w:shd w:val="clear" w:color="auto" w:fill="FEF9E7"/>
          </w:tcPr>
          <w:p>
            <w:r>
              <w:rPr>
                <w:i/>
                <w:color w:val="E56B1F"/>
                <w:sz w:val="18"/>
              </w:rPr>
              <w:t>P1 — Launch</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Pr>
                <w:b/>
                <w:color w:val="FFFFFF"/>
                <w:sz w:val="18"/>
              </w:rPr>
              <w:t>Guarantee</w:t>
            </w:r>
          </w:p>
        </w:tc>
        <w:tc>
          <w:tcPr>
            <w:tcW w:type="dxa" w:w="4680"/>
            <w:shd w:val="clear" w:color="auto" w:fill="EBF5FB"/>
          </w:tcPr>
          <w:p>
            <w:pPr>
              <w:spacing w:before="40" w:after="40"/>
            </w:pPr>
            <w:r>
              <w:rPr>
                <w:sz w:val="18"/>
              </w:rPr>
              <w:t>30-Day Money-Back on Subscription</w:t>
            </w:r>
          </w:p>
        </w:tc>
      </w:tr>
      <w:tr>
        <w:tc>
          <w:tcPr>
            <w:tcW w:type="dxa" w:w="4680"/>
            <w:shd w:val="clear" w:color="auto" w:fill="14783E"/>
          </w:tcPr>
          <w:p>
            <w:r>
              <w:rPr>
                <w:b/>
                <w:color w:val="FFFFFF"/>
                <w:sz w:val="18"/>
              </w:rPr>
              <w:t>Rationale</w:t>
            </w:r>
          </w:p>
        </w:tc>
        <w:tc>
          <w:tcPr>
            <w:tcW w:type="dxa" w:w="4680"/>
            <w:shd w:val="clear" w:color="auto" w:fill="F4F6F7"/>
          </w:tcPr>
          <w:p>
            <w:pPr>
              <w:spacing w:before="40" w:after="40"/>
            </w:pPr>
            <w:r>
              <w:rPr>
                <w:sz w:val="18"/>
              </w:rPr>
              <w:t>If a Wasel Go or Pass subscriber does not 'save more than they paid' in their first month (measured by rides taken × discount applied), full subscription refund. Fewer than 5% of subscribers will qualify; the guarantee changes 100% of subscription conversion conversations.</w:t>
            </w:r>
          </w:p>
        </w:tc>
      </w:tr>
      <w:tr>
        <w:tc>
          <w:tcPr>
            <w:tcW w:type="dxa" w:w="4680"/>
            <w:shd w:val="clear" w:color="auto" w:fill="C9950A"/>
          </w:tcPr>
          <w:p>
            <w:r>
              <w:rPr>
                <w:b/>
                <w:color w:val="FFFFFF"/>
                <w:sz w:val="18"/>
              </w:rPr>
              <w:t>Financial Impact</w:t>
            </w:r>
          </w:p>
        </w:tc>
        <w:tc>
          <w:tcPr>
            <w:tcW w:type="dxa" w:w="4680"/>
            <w:shd w:val="clear" w:color="auto" w:fill="EBF5FB"/>
          </w:tcPr>
          <w:p>
            <w:pPr>
              <w:spacing w:before="40" w:after="40"/>
            </w:pPr>
            <w:r>
              <w:rPr>
                <w:sz w:val="18"/>
              </w:rPr>
              <w:t>Financial impact: &lt;5% redemption rate; cost &lt;JD 2,000/month at scale. Conversion rate improvement estimated 18–25% for subscription paywall.</w:t>
            </w:r>
          </w:p>
        </w:tc>
      </w:tr>
      <w:tr>
        <w:tc>
          <w:tcPr>
            <w:tcW w:type="dxa" w:w="4680"/>
            <w:shd w:val="clear" w:color="auto" w:fill="0D1B2A"/>
          </w:tcPr>
          <w:p>
            <w:r>
              <w:rPr>
                <w:b/>
                <w:color w:val="FFFFFF"/>
                <w:sz w:val="18"/>
              </w:rPr>
              <w:t>Launch Phase</w:t>
            </w:r>
          </w:p>
        </w:tc>
        <w:tc>
          <w:tcPr>
            <w:tcW w:type="dxa" w:w="4680"/>
            <w:shd w:val="clear" w:color="auto" w:fill="FEF9E7"/>
          </w:tcPr>
          <w:p>
            <w:r>
              <w:rPr>
                <w:i/>
                <w:color w:val="E56B1F"/>
                <w:sz w:val="18"/>
              </w:rPr>
              <w:t>P1 — Launch</w:t>
            </w:r>
          </w:p>
        </w:tc>
      </w:tr>
    </w:tbl>
    <w:p/>
    <w:p>
      <w:r>
        <w:br w:type="page"/>
      </w:r>
    </w:p>
    <w:tbl>
      <w:tblPr>
        <w:tblW w:type="auto" w:w="0"/>
        <w:jc w:val="center"/>
        <w:tblLook w:firstColumn="1" w:firstRow="1" w:lastColumn="0" w:lastRow="0" w:noHBand="0" w:noVBand="1" w:val="04A0"/>
      </w:tblPr>
      <w:tblGrid>
        <w:gridCol w:w="9360"/>
      </w:tblGrid>
      <w:tr>
        <w:tc>
          <w:tcPr>
            <w:tcW w:type="dxa" w:w="9360"/>
            <w:shd w:val="clear" w:color="auto" w:fill="177EA1"/>
          </w:tcPr>
          <w:p>
            <w:pPr>
              <w:spacing w:before="200" w:after="80"/>
              <w:jc w:val="center"/>
            </w:pPr>
            <w:r>
              <w:rPr>
                <w:b/>
                <w:color w:val="FFFFFF"/>
                <w:sz w:val="30"/>
              </w:rPr>
              <w:t>03  PRICING STRATEGY</w:t>
            </w:r>
          </w:p>
          <w:p>
            <w:pPr>
              <w:spacing w:after="160"/>
              <w:jc w:val="center"/>
            </w:pPr>
            <w:r>
              <w:rPr>
                <w:i/>
                <w:color w:val="FFFFFF"/>
                <w:sz w:val="18"/>
              </w:rPr>
              <w:t>3 frameworks analyzed: Standard Dynamic · Predictable · Subscription-Hybrid</w:t>
            </w:r>
          </w:p>
        </w:tc>
      </w:tr>
    </w:tbl>
    <w:p/>
    <w:p>
      <w:pPr>
        <w:spacing w:before="320" w:after="80"/>
      </w:pPr>
      <w:r>
        <w:rPr>
          <w:b/>
          <w:color w:val="177EA1"/>
          <w:sz w:val="28"/>
        </w:rPr>
        <w:t>3.1  Framework A — Standard Dynamic Pricing (Baseline Rejection Case)</w:t>
      </w:r>
    </w:p>
    <w:p>
      <w:pPr>
        <w:spacing w:before="40" w:after="100"/>
      </w:pPr>
      <w:r>
        <w:rPr>
          <w:b w:val="0"/>
          <w:i/>
          <w:color w:val="3D3D3D"/>
          <w:sz w:val="20"/>
        </w:rPr>
        <w:t>This is what Uber and Careem operate. It is included as a baseline for competitive comparison, not as a recommendation.</w:t>
      </w:r>
    </w:p>
    <w:tbl>
      <w:tblPr>
        <w:tblW w:type="auto" w:w="0"/>
        <w:tblLook w:firstColumn="1" w:firstRow="1" w:lastColumn="0" w:lastRow="0" w:noHBand="0" w:noVBand="1" w:val="04A0"/>
      </w:tblPr>
      <w:tblGrid>
        <w:gridCol w:w="9360"/>
      </w:tblGrid>
      <w:tr>
        <w:tc>
          <w:tcPr>
            <w:tcW w:type="dxa" w:w="9360"/>
            <w:shd w:val="clear" w:color="auto" w:fill="FDEDEC"/>
          </w:tcPr>
          <w:p>
            <w:pPr>
              <w:spacing w:before="120" w:after="40"/>
              <w:ind w:left="200" w:right="200"/>
            </w:pPr>
            <w:r>
              <w:rPr>
                <w:b/>
                <w:color w:val="0D1B2A"/>
                <w:sz w:val="20"/>
              </w:rPr>
              <w:t>Dynamic Pricing Model</w:t>
            </w:r>
          </w:p>
          <w:p>
            <w:pPr>
              <w:spacing w:before="40" w:after="40"/>
              <w:ind w:left="200" w:right="200"/>
            </w:pPr>
            <w:r>
              <w:rPr>
                <w:b w:val="0"/>
                <w:color w:val="0D1B2A"/>
                <w:sz w:val="20"/>
              </w:rPr>
              <w:t>Base fare: JD 2.37 + surge multiplier (1.0×–2.5×)</w:t>
            </w:r>
          </w:p>
          <w:p>
            <w:pPr>
              <w:spacing w:before="40" w:after="40"/>
              <w:ind w:left="200" w:right="200"/>
            </w:pPr>
            <w:r>
              <w:rPr>
                <w:b w:val="0"/>
                <w:color w:val="0D1B2A"/>
                <w:sz w:val="20"/>
              </w:rPr>
              <w:t>Average surge frequency in Amman: ~28% of peak-hour rides carry 1.3×–1.8× surge</w:t>
            </w:r>
          </w:p>
          <w:p>
            <w:pPr>
              <w:spacing w:before="40" w:after="40"/>
              <w:ind w:left="200" w:right="200"/>
            </w:pPr>
            <w:r>
              <w:rPr>
                <w:b w:val="0"/>
                <w:color w:val="0D1B2A"/>
                <w:sz w:val="20"/>
              </w:rPr>
              <w:t>Rider perceived cost: unpredictable. Booking abandonment at surge: ~35%</w:t>
            </w:r>
          </w:p>
          <w:p>
            <w:pPr>
              <w:spacing w:before="40" w:after="40"/>
              <w:ind w:left="200" w:right="200"/>
            </w:pPr>
            <w:r>
              <w:rPr>
                <w:b w:val="0"/>
                <w:color w:val="0D1B2A"/>
                <w:sz w:val="20"/>
              </w:rPr>
              <w:t>Revenue per ride: JD 2.37 (base) to JD 5.92 (2.5× surge)</w:t>
            </w:r>
          </w:p>
          <w:p>
            <w:pPr>
              <w:spacing w:before="40" w:after="120"/>
              <w:ind w:left="200" w:right="200"/>
            </w:pPr>
            <w:r>
              <w:rPr>
                <w:b w:val="0"/>
                <w:color w:val="0D1B2A"/>
                <w:sz w:val="20"/>
              </w:rPr>
              <w:t>VERDICT: Maximizes per-ride revenue. Destroys rider trust, habit formation, and subscription conversion. NOT RECOMMENDED as primary model.</w:t>
            </w:r>
          </w:p>
        </w:tc>
      </w:tr>
    </w:tbl>
    <w:p/>
    <w:p>
      <w:pPr>
        <w:spacing w:before="320" w:after="80"/>
      </w:pPr>
      <w:r>
        <w:rPr>
          <w:b/>
          <w:color w:val="177EA1"/>
          <w:sz w:val="28"/>
        </w:rPr>
        <w:t>3.2  Framework B — Predictable Pricing Model (Wasel Lock)</w:t>
      </w:r>
    </w:p>
    <w:p>
      <w:pPr>
        <w:spacing w:before="40" w:after="100"/>
      </w:pPr>
      <w:r>
        <w:rPr>
          <w:b w:val="0"/>
          <w:i w:val="0"/>
          <w:color w:val="3D3D3D"/>
          <w:sz w:val="21"/>
        </w:rPr>
        <w:t>Full fare locked at booking confirmation. No surge multiplier. Fare based on distance + time only. Displayed before booking. Guaranteed at checkout.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77EA1"/>
          </w:tcPr>
          <w:p>
            <w:pPr>
              <w:jc w:val="center"/>
            </w:pPr>
            <w:r>
              <w:rPr>
                <w:b/>
                <w:color w:val="FFFFFF"/>
                <w:sz w:val="19"/>
              </w:rPr>
              <w:t>Parameter</w:t>
            </w:r>
          </w:p>
        </w:tc>
        <w:tc>
          <w:tcPr>
            <w:tcW w:type="dxa" w:w="3120"/>
            <w:shd w:val="clear" w:color="auto" w:fill="177EA1"/>
          </w:tcPr>
          <w:p>
            <w:pPr>
              <w:jc w:val="center"/>
            </w:pPr>
            <w:r>
              <w:rPr>
                <w:b/>
                <w:color w:val="FFFFFF"/>
                <w:sz w:val="19"/>
              </w:rPr>
              <w:t>Wasel Implementation</w:t>
            </w:r>
          </w:p>
        </w:tc>
        <w:tc>
          <w:tcPr>
            <w:tcW w:type="dxa" w:w="3120"/>
            <w:shd w:val="clear" w:color="auto" w:fill="177EA1"/>
          </w:tcPr>
          <w:p>
            <w:pPr>
              <w:jc w:val="center"/>
            </w:pPr>
            <w:r>
              <w:rPr>
                <w:b/>
                <w:color w:val="FFFFFF"/>
                <w:sz w:val="19"/>
              </w:rPr>
              <w:t>Notes</w:t>
            </w:r>
          </w:p>
        </w:tc>
      </w:tr>
      <w:tr>
        <w:tc>
          <w:tcPr>
            <w:tcW w:type="dxa" w:w="3120"/>
            <w:shd w:val="clear" w:color="auto" w:fill="EBF5FB"/>
          </w:tcPr>
          <w:p>
            <w:pPr>
              <w:spacing w:before="40" w:after="40"/>
            </w:pPr>
            <w:r>
              <w:rPr>
                <w:sz w:val="18"/>
              </w:rPr>
              <w:t>Base fare structure</w:t>
            </w:r>
          </w:p>
        </w:tc>
        <w:tc>
          <w:tcPr>
            <w:tcW w:type="dxa" w:w="3120"/>
            <w:shd w:val="clear" w:color="auto" w:fill="EBF5FB"/>
          </w:tcPr>
          <w:p>
            <w:pPr>
              <w:spacing w:before="40" w:after="40"/>
            </w:pPr>
            <w:r>
              <w:rPr>
                <w:sz w:val="18"/>
              </w:rPr>
              <w:t>JD 1.20 flag fall + JD 0.85/km + JD 0.12/min (idle)</w:t>
            </w:r>
          </w:p>
        </w:tc>
        <w:tc>
          <w:tcPr>
            <w:tcW w:type="dxa" w:w="3120"/>
            <w:shd w:val="clear" w:color="auto" w:fill="EBF5FB"/>
          </w:tcPr>
          <w:p>
            <w:pPr>
              <w:spacing w:before="40" w:after="40"/>
            </w:pPr>
            <w:r>
              <w:rPr>
                <w:sz w:val="18"/>
              </w:rPr>
              <w:t>Calibrated to JD 2.37 blended average</w:t>
            </w:r>
          </w:p>
        </w:tc>
      </w:tr>
      <w:tr>
        <w:tc>
          <w:tcPr>
            <w:tcW w:type="dxa" w:w="3120"/>
            <w:shd w:val="clear" w:color="auto" w:fill="FDFEFE"/>
          </w:tcPr>
          <w:p>
            <w:pPr>
              <w:spacing w:before="40" w:after="40"/>
            </w:pPr>
            <w:r>
              <w:rPr>
                <w:sz w:val="18"/>
              </w:rPr>
              <w:t>Peak period handling</w:t>
            </w:r>
          </w:p>
        </w:tc>
        <w:tc>
          <w:tcPr>
            <w:tcW w:type="dxa" w:w="3120"/>
            <w:shd w:val="clear" w:color="auto" w:fill="FDFEFE"/>
          </w:tcPr>
          <w:p>
            <w:pPr>
              <w:spacing w:before="40" w:after="40"/>
            </w:pPr>
            <w:r>
              <w:rPr>
                <w:sz w:val="18"/>
              </w:rPr>
              <w:t>Fare may be 12–18% higher during peak hours — displayed transparently at booking</w:t>
            </w:r>
          </w:p>
        </w:tc>
        <w:tc>
          <w:tcPr>
            <w:tcW w:type="dxa" w:w="3120"/>
            <w:shd w:val="clear" w:color="auto" w:fill="FDFEFE"/>
          </w:tcPr>
          <w:p>
            <w:pPr>
              <w:spacing w:before="40" w:after="40"/>
            </w:pPr>
            <w:r>
              <w:rPr>
                <w:sz w:val="18"/>
              </w:rPr>
              <w:t>Not a multiplier. A time-of-day rate. Riders understand and accept it.</w:t>
            </w:r>
          </w:p>
        </w:tc>
      </w:tr>
      <w:tr>
        <w:tc>
          <w:tcPr>
            <w:tcW w:type="dxa" w:w="3120"/>
            <w:shd w:val="clear" w:color="auto" w:fill="EBF5FB"/>
          </w:tcPr>
          <w:p>
            <w:pPr>
              <w:spacing w:before="40" w:after="40"/>
            </w:pPr>
            <w:r>
              <w:rPr>
                <w:sz w:val="18"/>
              </w:rPr>
              <w:t>Cancellation protection</w:t>
            </w:r>
          </w:p>
        </w:tc>
        <w:tc>
          <w:tcPr>
            <w:tcW w:type="dxa" w:w="3120"/>
            <w:shd w:val="clear" w:color="auto" w:fill="EBF5FB"/>
          </w:tcPr>
          <w:p>
            <w:pPr>
              <w:spacing w:before="40" w:after="40"/>
            </w:pPr>
            <w:r>
              <w:rPr>
                <w:sz w:val="18"/>
              </w:rPr>
              <w:t>Rider cancels &lt;90 seconds: no charge. Driver cancels after 5 min: rider gets JD 1.00 credit.</w:t>
            </w:r>
          </w:p>
        </w:tc>
        <w:tc>
          <w:tcPr>
            <w:tcW w:type="dxa" w:w="3120"/>
            <w:shd w:val="clear" w:color="auto" w:fill="EBF5FB"/>
          </w:tcPr>
          <w:p>
            <w:pPr>
              <w:spacing w:before="40" w:after="40"/>
            </w:pPr>
            <w:r>
              <w:rPr>
                <w:sz w:val="18"/>
              </w:rPr>
              <w:t>Enforces driver accountability</w:t>
            </w:r>
          </w:p>
        </w:tc>
      </w:tr>
      <w:tr>
        <w:tc>
          <w:tcPr>
            <w:tcW w:type="dxa" w:w="3120"/>
            <w:shd w:val="clear" w:color="auto" w:fill="FDFEFE"/>
          </w:tcPr>
          <w:p>
            <w:pPr>
              <w:spacing w:before="40" w:after="40"/>
            </w:pPr>
            <w:r>
              <w:rPr>
                <w:sz w:val="18"/>
              </w:rPr>
              <w:t>Gross margin per ride</w:t>
            </w:r>
          </w:p>
        </w:tc>
        <w:tc>
          <w:tcPr>
            <w:tcW w:type="dxa" w:w="3120"/>
            <w:shd w:val="clear" w:color="auto" w:fill="FDFEFE"/>
          </w:tcPr>
          <w:p>
            <w:pPr>
              <w:spacing w:before="40" w:after="40"/>
            </w:pPr>
            <w:r>
              <w:rPr>
                <w:sz w:val="18"/>
              </w:rPr>
              <w:t>JD 0 (driver keeps 100%). Platform earns flat subscription only.</w:t>
            </w:r>
          </w:p>
        </w:tc>
        <w:tc>
          <w:tcPr>
            <w:tcW w:type="dxa" w:w="3120"/>
            <w:shd w:val="clear" w:color="auto" w:fill="FDFEFE"/>
          </w:tcPr>
          <w:p>
            <w:pPr>
              <w:spacing w:before="40" w:after="40"/>
            </w:pPr>
            <w:r>
              <w:rPr>
                <w:sz w:val="18"/>
              </w:rPr>
              <w:t>Wasel's revenue is subscription-based, not ride-percentage based</w:t>
            </w:r>
          </w:p>
        </w:tc>
      </w:tr>
      <w:tr>
        <w:tc>
          <w:tcPr>
            <w:tcW w:type="dxa" w:w="3120"/>
            <w:shd w:val="clear" w:color="auto" w:fill="EBF5FB"/>
          </w:tcPr>
          <w:p>
            <w:pPr>
              <w:spacing w:before="40" w:after="40"/>
            </w:pPr>
            <w:r>
              <w:rPr>
                <w:sz w:val="18"/>
              </w:rPr>
              <w:t>Rider price predictability</w:t>
            </w:r>
          </w:p>
        </w:tc>
        <w:tc>
          <w:tcPr>
            <w:tcW w:type="dxa" w:w="3120"/>
            <w:shd w:val="clear" w:color="auto" w:fill="EBF5FB"/>
          </w:tcPr>
          <w:p>
            <w:pPr>
              <w:spacing w:before="40" w:after="40"/>
            </w:pPr>
            <w:r>
              <w:rPr>
                <w:sz w:val="18"/>
              </w:rPr>
              <w:t>100% — no surprise at destination</w:t>
            </w:r>
          </w:p>
        </w:tc>
        <w:tc>
          <w:tcPr>
            <w:tcW w:type="dxa" w:w="3120"/>
            <w:shd w:val="clear" w:color="auto" w:fill="EBF5FB"/>
          </w:tcPr>
          <w:p>
            <w:pPr>
              <w:spacing w:before="40" w:after="40"/>
            </w:pPr>
            <w:r>
              <w:rPr>
                <w:sz w:val="18"/>
              </w:rPr>
              <w:t>Primary conversion argument vs. Uber</w:t>
            </w:r>
          </w:p>
        </w:tc>
      </w:tr>
      <w:tr>
        <w:tc>
          <w:tcPr>
            <w:tcW w:type="dxa" w:w="3120"/>
            <w:shd w:val="clear" w:color="auto" w:fill="FDFEFE"/>
          </w:tcPr>
          <w:p>
            <w:pPr>
              <w:spacing w:before="40" w:after="40"/>
            </w:pPr>
            <w:r>
              <w:rPr>
                <w:sz w:val="18"/>
              </w:rPr>
              <w:t>Driver earnings impact</w:t>
            </w:r>
          </w:p>
        </w:tc>
        <w:tc>
          <w:tcPr>
            <w:tcW w:type="dxa" w:w="3120"/>
            <w:shd w:val="clear" w:color="auto" w:fill="FDFEFE"/>
          </w:tcPr>
          <w:p>
            <w:pPr>
              <w:spacing w:before="40" w:after="40"/>
            </w:pPr>
            <w:r>
              <w:rPr>
                <w:sz w:val="18"/>
              </w:rPr>
              <w:t>Driver earns the displayed fare in full. No deductions.</w:t>
            </w:r>
          </w:p>
        </w:tc>
        <w:tc>
          <w:tcPr>
            <w:tcW w:type="dxa" w:w="3120"/>
            <w:shd w:val="clear" w:color="auto" w:fill="FDFEFE"/>
          </w:tcPr>
          <w:p>
            <w:pPr>
              <w:spacing w:before="40" w:after="40"/>
            </w:pPr>
            <w:r>
              <w:rPr>
                <w:sz w:val="18"/>
              </w:rPr>
              <w:t>Driver motivation to complete rides is maximum</w:t>
            </w:r>
          </w:p>
        </w:tc>
      </w:tr>
      <w:tr>
        <w:tc>
          <w:tcPr>
            <w:tcW w:type="dxa" w:w="3120"/>
            <w:shd w:val="clear" w:color="auto" w:fill="EBF5FB"/>
          </w:tcPr>
          <w:p>
            <w:pPr>
              <w:spacing w:before="40" w:after="40"/>
            </w:pPr>
            <w:r>
              <w:rPr>
                <w:sz w:val="18"/>
              </w:rPr>
              <w:t>Uber/Careem countermove risk</w:t>
            </w:r>
          </w:p>
        </w:tc>
        <w:tc>
          <w:tcPr>
            <w:tcW w:type="dxa" w:w="3120"/>
            <w:shd w:val="clear" w:color="auto" w:fill="EBF5FB"/>
          </w:tcPr>
          <w:p>
            <w:pPr>
              <w:spacing w:before="40" w:after="40"/>
            </w:pPr>
            <w:r>
              <w:rPr>
                <w:sz w:val="18"/>
              </w:rPr>
              <w:t>Low — they cannot remove surge without destroying their revenue model. Their model requires surge to remain profitable.</w:t>
            </w:r>
          </w:p>
        </w:tc>
        <w:tc>
          <w:tcPr>
            <w:tcW w:type="dxa" w:w="3120"/>
            <w:shd w:val="clear" w:color="auto" w:fill="EBF5FB"/>
          </w:tcPr>
          <w:p>
            <w:pPr>
              <w:spacing w:before="40" w:after="40"/>
            </w:pPr>
            <w:r>
              <w:rPr>
                <w:sz w:val="18"/>
              </w:rPr>
              <w:t>Structural moat</w:t>
            </w:r>
          </w:p>
        </w:tc>
      </w:tr>
    </w:tbl>
    <w:p/>
    <w:p>
      <w:pPr>
        <w:spacing w:before="320" w:after="80"/>
      </w:pPr>
      <w:r>
        <w:rPr>
          <w:b/>
          <w:color w:val="177EA1"/>
          <w:sz w:val="28"/>
        </w:rPr>
        <w:t>3.3  Framework C — Subscription-Assisted Hybrid (RECOMMENDED)</w:t>
      </w:r>
    </w:p>
    <w:p>
      <w:pPr>
        <w:spacing w:before="40" w:after="100"/>
      </w:pPr>
      <w:r>
        <w:rPr>
          <w:b/>
          <w:i w:val="0"/>
          <w:color w:val="3D3D3D"/>
          <w:sz w:val="21"/>
        </w:rPr>
        <w:t>This is the recommended model. Subscription tiers overlay the Predictable Pricing base, creating differentiated value for different rider segments while protecting platform revenue stability.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0D1B2A"/>
          </w:tcPr>
          <w:p>
            <w:pPr>
              <w:jc w:val="center"/>
            </w:pPr>
            <w:r>
              <w:rPr>
                <w:b/>
                <w:color w:val="FFFFFF"/>
                <w:sz w:val="19"/>
              </w:rPr>
              <w:t>Tier</w:t>
            </w:r>
          </w:p>
        </w:tc>
        <w:tc>
          <w:tcPr>
            <w:tcW w:type="dxa" w:w="1170"/>
            <w:shd w:val="clear" w:color="auto" w:fill="0D1B2A"/>
          </w:tcPr>
          <w:p>
            <w:pPr>
              <w:jc w:val="center"/>
            </w:pPr>
            <w:r>
              <w:rPr>
                <w:b/>
                <w:color w:val="FFFFFF"/>
                <w:sz w:val="19"/>
              </w:rPr>
              <w:t>Price/Mo</w:t>
            </w:r>
          </w:p>
        </w:tc>
        <w:tc>
          <w:tcPr>
            <w:tcW w:type="dxa" w:w="1170"/>
            <w:shd w:val="clear" w:color="auto" w:fill="0D1B2A"/>
          </w:tcPr>
          <w:p>
            <w:pPr>
              <w:jc w:val="center"/>
            </w:pPr>
            <w:r>
              <w:rPr>
                <w:b/>
                <w:color w:val="FFFFFF"/>
                <w:sz w:val="19"/>
              </w:rPr>
              <w:t>Fare Discount</w:t>
            </w:r>
          </w:p>
        </w:tc>
        <w:tc>
          <w:tcPr>
            <w:tcW w:type="dxa" w:w="1170"/>
            <w:shd w:val="clear" w:color="auto" w:fill="0D1B2A"/>
          </w:tcPr>
          <w:p>
            <w:pPr>
              <w:jc w:val="center"/>
            </w:pPr>
            <w:r>
              <w:rPr>
                <w:b/>
                <w:color w:val="FFFFFF"/>
                <w:sz w:val="19"/>
              </w:rPr>
              <w:t>Surge Protection</w:t>
            </w:r>
          </w:p>
        </w:tc>
        <w:tc>
          <w:tcPr>
            <w:tcW w:type="dxa" w:w="1170"/>
            <w:shd w:val="clear" w:color="auto" w:fill="0D1B2A"/>
          </w:tcPr>
          <w:p>
            <w:pPr>
              <w:jc w:val="center"/>
            </w:pPr>
            <w:r>
              <w:rPr>
                <w:b/>
                <w:color w:val="FFFFFF"/>
                <w:sz w:val="19"/>
              </w:rPr>
              <w:t>Cancellations</w:t>
            </w:r>
          </w:p>
        </w:tc>
        <w:tc>
          <w:tcPr>
            <w:tcW w:type="dxa" w:w="1170"/>
            <w:shd w:val="clear" w:color="auto" w:fill="0D1B2A"/>
          </w:tcPr>
          <w:p>
            <w:pPr>
              <w:jc w:val="center"/>
            </w:pPr>
            <w:r>
              <w:rPr>
                <w:b/>
                <w:color w:val="FFFFFF"/>
                <w:sz w:val="19"/>
              </w:rPr>
              <w:t>Break-Even Rides</w:t>
            </w:r>
          </w:p>
        </w:tc>
        <w:tc>
          <w:tcPr>
            <w:tcW w:type="dxa" w:w="1170"/>
            <w:shd w:val="clear" w:color="auto" w:fill="0D1B2A"/>
          </w:tcPr>
          <w:p>
            <w:pPr>
              <w:jc w:val="center"/>
            </w:pPr>
            <w:r>
              <w:rPr>
                <w:b/>
                <w:color w:val="FFFFFF"/>
                <w:sz w:val="19"/>
              </w:rPr>
              <w:t>Target Segment</w:t>
            </w:r>
          </w:p>
        </w:tc>
        <w:tc>
          <w:tcPr>
            <w:tcW w:type="dxa" w:w="1170"/>
            <w:shd w:val="clear" w:color="auto" w:fill="0D1B2A"/>
          </w:tcPr>
          <w:p>
            <w:pPr>
              <w:jc w:val="center"/>
            </w:pPr>
            <w:r>
              <w:rPr>
                <w:b/>
                <w:color w:val="FFFFFF"/>
                <w:sz w:val="19"/>
              </w:rPr>
              <w:t>Margin Impact</w:t>
            </w:r>
          </w:p>
        </w:tc>
      </w:tr>
      <w:tr>
        <w:tc>
          <w:tcPr>
            <w:tcW w:type="dxa" w:w="1170"/>
            <w:shd w:val="clear" w:color="auto" w:fill="EBF5FB"/>
          </w:tcPr>
          <w:p>
            <w:pPr>
              <w:spacing w:before="40" w:after="40"/>
            </w:pPr>
            <w:r>
              <w:rPr>
                <w:sz w:val="17"/>
              </w:rPr>
              <w:t>Standard (Free)</w:t>
            </w:r>
          </w:p>
        </w:tc>
        <w:tc>
          <w:tcPr>
            <w:tcW w:type="dxa" w:w="1170"/>
            <w:shd w:val="clear" w:color="auto" w:fill="EBF5FB"/>
          </w:tcPr>
          <w:p>
            <w:pPr>
              <w:spacing w:before="40" w:after="40"/>
            </w:pPr>
            <w:r>
              <w:rPr>
                <w:sz w:val="17"/>
              </w:rPr>
              <w:t>JD 0</w:t>
            </w:r>
          </w:p>
        </w:tc>
        <w:tc>
          <w:tcPr>
            <w:tcW w:type="dxa" w:w="1170"/>
            <w:shd w:val="clear" w:color="auto" w:fill="EBF5FB"/>
          </w:tcPr>
          <w:p>
            <w:pPr>
              <w:spacing w:before="40" w:after="40"/>
            </w:pPr>
            <w:r>
              <w:rPr>
                <w:sz w:val="17"/>
              </w:rPr>
              <w:t>None</w:t>
            </w:r>
          </w:p>
        </w:tc>
        <w:tc>
          <w:tcPr>
            <w:tcW w:type="dxa" w:w="1170"/>
            <w:shd w:val="clear" w:color="auto" w:fill="EBF5FB"/>
          </w:tcPr>
          <w:p>
            <w:pPr>
              <w:spacing w:before="40" w:after="40"/>
            </w:pPr>
            <w:r>
              <w:rPr>
                <w:sz w:val="17"/>
              </w:rPr>
              <w:t>None</w:t>
            </w:r>
          </w:p>
        </w:tc>
        <w:tc>
          <w:tcPr>
            <w:tcW w:type="dxa" w:w="1170"/>
            <w:shd w:val="clear" w:color="auto" w:fill="EBF5FB"/>
          </w:tcPr>
          <w:p>
            <w:pPr>
              <w:spacing w:before="40" w:after="40"/>
            </w:pPr>
            <w:r>
              <w:rPr>
                <w:sz w:val="17"/>
              </w:rPr>
              <w:t>2 free/mo</w:t>
            </w:r>
          </w:p>
        </w:tc>
        <w:tc>
          <w:tcPr>
            <w:tcW w:type="dxa" w:w="1170"/>
            <w:shd w:val="clear" w:color="auto" w:fill="EBF5FB"/>
          </w:tcPr>
          <w:p>
            <w:pPr>
              <w:spacing w:before="40" w:after="40"/>
            </w:pPr>
            <w:r>
              <w:rPr>
                <w:sz w:val="17"/>
              </w:rPr>
              <w:t>N/A</w:t>
            </w:r>
          </w:p>
        </w:tc>
        <w:tc>
          <w:tcPr>
            <w:tcW w:type="dxa" w:w="1170"/>
            <w:shd w:val="clear" w:color="auto" w:fill="EBF5FB"/>
          </w:tcPr>
          <w:p>
            <w:pPr>
              <w:spacing w:before="40" w:after="40"/>
            </w:pPr>
            <w:r>
              <w:rPr>
                <w:sz w:val="17"/>
              </w:rPr>
              <w:t>Occasional / cash users</w:t>
            </w:r>
          </w:p>
        </w:tc>
        <w:tc>
          <w:tcPr>
            <w:tcW w:type="dxa" w:w="1170"/>
            <w:shd w:val="clear" w:color="auto" w:fill="EBF5FB"/>
          </w:tcPr>
          <w:p>
            <w:pPr>
              <w:spacing w:before="40" w:after="40"/>
            </w:pPr>
            <w:r>
              <w:rPr>
                <w:sz w:val="17"/>
              </w:rPr>
              <w:t>JD 0 rider revenue</w:t>
            </w:r>
          </w:p>
        </w:tc>
      </w:tr>
      <w:tr>
        <w:tc>
          <w:tcPr>
            <w:tcW w:type="dxa" w:w="1170"/>
            <w:shd w:val="clear" w:color="auto" w:fill="FDFEFE"/>
          </w:tcPr>
          <w:p>
            <w:pPr>
              <w:spacing w:before="40" w:after="40"/>
            </w:pPr>
            <w:r>
              <w:rPr>
                <w:sz w:val="17"/>
              </w:rPr>
              <w:t>Wasel Go</w:t>
            </w:r>
          </w:p>
        </w:tc>
        <w:tc>
          <w:tcPr>
            <w:tcW w:type="dxa" w:w="1170"/>
            <w:shd w:val="clear" w:color="auto" w:fill="FDFEFE"/>
          </w:tcPr>
          <w:p>
            <w:pPr>
              <w:spacing w:before="40" w:after="40"/>
            </w:pPr>
            <w:r>
              <w:rPr>
                <w:sz w:val="17"/>
              </w:rPr>
              <w:t>JD 4.99/mo</w:t>
            </w:r>
          </w:p>
        </w:tc>
        <w:tc>
          <w:tcPr>
            <w:tcW w:type="dxa" w:w="1170"/>
            <w:shd w:val="clear" w:color="auto" w:fill="FDFEFE"/>
          </w:tcPr>
          <w:p>
            <w:pPr>
              <w:spacing w:before="40" w:after="40"/>
            </w:pPr>
            <w:r>
              <w:rPr>
                <w:sz w:val="17"/>
              </w:rPr>
              <w:t>10% all rides</w:t>
            </w:r>
          </w:p>
        </w:tc>
        <w:tc>
          <w:tcPr>
            <w:tcW w:type="dxa" w:w="1170"/>
            <w:shd w:val="clear" w:color="auto" w:fill="FDFEFE"/>
          </w:tcPr>
          <w:p>
            <w:pPr>
              <w:spacing w:before="40" w:after="40"/>
            </w:pPr>
            <w:r>
              <w:rPr>
                <w:sz w:val="17"/>
              </w:rPr>
              <w:t>Surge capped at JD 0.50 above base</w:t>
            </w:r>
          </w:p>
        </w:tc>
        <w:tc>
          <w:tcPr>
            <w:tcW w:type="dxa" w:w="1170"/>
            <w:shd w:val="clear" w:color="auto" w:fill="FDFEFE"/>
          </w:tcPr>
          <w:p>
            <w:pPr>
              <w:spacing w:before="40" w:after="40"/>
            </w:pPr>
            <w:r>
              <w:rPr>
                <w:sz w:val="17"/>
              </w:rPr>
              <w:t>6 free/mo</w:t>
            </w:r>
          </w:p>
        </w:tc>
        <w:tc>
          <w:tcPr>
            <w:tcW w:type="dxa" w:w="1170"/>
            <w:shd w:val="clear" w:color="auto" w:fill="FDFEFE"/>
          </w:tcPr>
          <w:p>
            <w:pPr>
              <w:spacing w:before="40" w:after="40"/>
            </w:pPr>
            <w:r>
              <w:rPr>
                <w:sz w:val="17"/>
              </w:rPr>
              <w:t>21 rides</w:t>
              <w:br/>
              <w:t>(JD 0.237 savings/ride)</w:t>
            </w:r>
          </w:p>
        </w:tc>
        <w:tc>
          <w:tcPr>
            <w:tcW w:type="dxa" w:w="1170"/>
            <w:shd w:val="clear" w:color="auto" w:fill="FDFEFE"/>
          </w:tcPr>
          <w:p>
            <w:pPr>
              <w:spacing w:before="40" w:after="40"/>
            </w:pPr>
            <w:r>
              <w:rPr>
                <w:sz w:val="17"/>
              </w:rPr>
              <w:t>Regular commuters</w:t>
              <w:br/>
              <w:t>3×/week</w:t>
            </w:r>
          </w:p>
        </w:tc>
        <w:tc>
          <w:tcPr>
            <w:tcW w:type="dxa" w:w="1170"/>
            <w:shd w:val="clear" w:color="auto" w:fill="FDFEFE"/>
          </w:tcPr>
          <w:p>
            <w:pPr>
              <w:spacing w:before="40" w:after="40"/>
            </w:pPr>
            <w:r>
              <w:rPr>
                <w:sz w:val="17"/>
              </w:rPr>
              <w:t>+JD 4.99 ARPU</w:t>
            </w:r>
          </w:p>
        </w:tc>
      </w:tr>
      <w:tr>
        <w:tc>
          <w:tcPr>
            <w:tcW w:type="dxa" w:w="1170"/>
            <w:shd w:val="clear" w:color="auto" w:fill="EBF5FB"/>
          </w:tcPr>
          <w:p>
            <w:pPr>
              <w:spacing w:before="40" w:after="40"/>
            </w:pPr>
            <w:r>
              <w:rPr>
                <w:sz w:val="17"/>
              </w:rPr>
              <w:t>Wasel Pass</w:t>
            </w:r>
          </w:p>
        </w:tc>
        <w:tc>
          <w:tcPr>
            <w:tcW w:type="dxa" w:w="1170"/>
            <w:shd w:val="clear" w:color="auto" w:fill="EBF5FB"/>
          </w:tcPr>
          <w:p>
            <w:pPr>
              <w:spacing w:before="40" w:after="40"/>
            </w:pPr>
            <w:r>
              <w:rPr>
                <w:sz w:val="17"/>
              </w:rPr>
              <w:t>JD 9.99/mo</w:t>
            </w:r>
          </w:p>
        </w:tc>
        <w:tc>
          <w:tcPr>
            <w:tcW w:type="dxa" w:w="1170"/>
            <w:shd w:val="clear" w:color="auto" w:fill="EBF5FB"/>
          </w:tcPr>
          <w:p>
            <w:pPr>
              <w:spacing w:before="40" w:after="40"/>
            </w:pPr>
            <w:r>
              <w:rPr>
                <w:sz w:val="17"/>
              </w:rPr>
              <w:t>18% + 2 free rides/mo</w:t>
            </w:r>
          </w:p>
        </w:tc>
        <w:tc>
          <w:tcPr>
            <w:tcW w:type="dxa" w:w="1170"/>
            <w:shd w:val="clear" w:color="auto" w:fill="EBF5FB"/>
          </w:tcPr>
          <w:p>
            <w:pPr>
              <w:spacing w:before="40" w:after="40"/>
            </w:pPr>
            <w:r>
              <w:rPr>
                <w:sz w:val="17"/>
              </w:rPr>
              <w:t>Zero surge — all rides at standard rate</w:t>
            </w:r>
          </w:p>
        </w:tc>
        <w:tc>
          <w:tcPr>
            <w:tcW w:type="dxa" w:w="1170"/>
            <w:shd w:val="clear" w:color="auto" w:fill="EBF5FB"/>
          </w:tcPr>
          <w:p>
            <w:pPr>
              <w:spacing w:before="40" w:after="40"/>
            </w:pPr>
            <w:r>
              <w:rPr>
                <w:sz w:val="17"/>
              </w:rPr>
              <w:t>Unlimited</w:t>
            </w:r>
          </w:p>
        </w:tc>
        <w:tc>
          <w:tcPr>
            <w:tcW w:type="dxa" w:w="1170"/>
            <w:shd w:val="clear" w:color="auto" w:fill="EBF5FB"/>
          </w:tcPr>
          <w:p>
            <w:pPr>
              <w:spacing w:before="40" w:after="40"/>
            </w:pPr>
            <w:r>
              <w:rPr>
                <w:sz w:val="17"/>
              </w:rPr>
              <w:t>12 rides</w:t>
              <w:br/>
              <w:t>(JD 0.427 savings/ride)</w:t>
            </w:r>
          </w:p>
        </w:tc>
        <w:tc>
          <w:tcPr>
            <w:tcW w:type="dxa" w:w="1170"/>
            <w:shd w:val="clear" w:color="auto" w:fill="EBF5FB"/>
          </w:tcPr>
          <w:p>
            <w:pPr>
              <w:spacing w:before="40" w:after="40"/>
            </w:pPr>
            <w:r>
              <w:rPr>
                <w:sz w:val="17"/>
              </w:rPr>
              <w:t>Daily commuters</w:t>
              <w:br/>
              <w:t>Corporate</w:t>
              <w:br/>
              <w:t>Airport users</w:t>
            </w:r>
          </w:p>
        </w:tc>
        <w:tc>
          <w:tcPr>
            <w:tcW w:type="dxa" w:w="1170"/>
            <w:shd w:val="clear" w:color="auto" w:fill="EBF5FB"/>
          </w:tcPr>
          <w:p>
            <w:pPr>
              <w:spacing w:before="40" w:after="40"/>
            </w:pPr>
            <w:r>
              <w:rPr>
                <w:sz w:val="17"/>
              </w:rPr>
              <w:t>+JD 9.99 ARPU</w:t>
            </w:r>
          </w:p>
        </w:tc>
      </w:tr>
      <w:tr>
        <w:tc>
          <w:tcPr>
            <w:tcW w:type="dxa" w:w="1170"/>
            <w:shd w:val="clear" w:color="auto" w:fill="FDFEFE"/>
          </w:tcPr>
          <w:p>
            <w:pPr>
              <w:spacing w:before="40" w:after="40"/>
            </w:pPr>
            <w:r>
              <w:rPr>
                <w:sz w:val="17"/>
              </w:rPr>
              <w:t>Wasel VIP (M6+)</w:t>
            </w:r>
          </w:p>
        </w:tc>
        <w:tc>
          <w:tcPr>
            <w:tcW w:type="dxa" w:w="1170"/>
            <w:shd w:val="clear" w:color="auto" w:fill="FDFEFE"/>
          </w:tcPr>
          <w:p>
            <w:pPr>
              <w:spacing w:before="40" w:after="40"/>
            </w:pPr>
            <w:r>
              <w:rPr>
                <w:sz w:val="17"/>
              </w:rPr>
              <w:t>JD 19.99/mo</w:t>
            </w:r>
          </w:p>
        </w:tc>
        <w:tc>
          <w:tcPr>
            <w:tcW w:type="dxa" w:w="1170"/>
            <w:shd w:val="clear" w:color="auto" w:fill="FDFEFE"/>
          </w:tcPr>
          <w:p>
            <w:pPr>
              <w:spacing w:before="40" w:after="40"/>
            </w:pPr>
            <w:r>
              <w:rPr>
                <w:sz w:val="17"/>
              </w:rPr>
              <w:t>22% + 4 free rides/mo + airport priority</w:t>
            </w:r>
          </w:p>
        </w:tc>
        <w:tc>
          <w:tcPr>
            <w:tcW w:type="dxa" w:w="1170"/>
            <w:shd w:val="clear" w:color="auto" w:fill="FDFEFE"/>
          </w:tcPr>
          <w:p>
            <w:pPr>
              <w:spacing w:before="40" w:after="40"/>
            </w:pPr>
            <w:r>
              <w:rPr>
                <w:sz w:val="17"/>
              </w:rPr>
              <w:t>Zero surge + preferred driver always first</w:t>
            </w:r>
          </w:p>
        </w:tc>
        <w:tc>
          <w:tcPr>
            <w:tcW w:type="dxa" w:w="1170"/>
            <w:shd w:val="clear" w:color="auto" w:fill="FDFEFE"/>
          </w:tcPr>
          <w:p>
            <w:pPr>
              <w:spacing w:before="40" w:after="40"/>
            </w:pPr>
            <w:r>
              <w:rPr>
                <w:sz w:val="17"/>
              </w:rPr>
              <w:t>Unlimited + driver request</w:t>
            </w:r>
          </w:p>
        </w:tc>
        <w:tc>
          <w:tcPr>
            <w:tcW w:type="dxa" w:w="1170"/>
            <w:shd w:val="clear" w:color="auto" w:fill="FDFEFE"/>
          </w:tcPr>
          <w:p>
            <w:pPr>
              <w:spacing w:before="40" w:after="40"/>
            </w:pPr>
            <w:r>
              <w:rPr>
                <w:sz w:val="17"/>
              </w:rPr>
              <w:t>15 rides</w:t>
            </w:r>
          </w:p>
        </w:tc>
        <w:tc>
          <w:tcPr>
            <w:tcW w:type="dxa" w:w="1170"/>
            <w:shd w:val="clear" w:color="auto" w:fill="FDFEFE"/>
          </w:tcPr>
          <w:p>
            <w:pPr>
              <w:spacing w:before="40" w:after="40"/>
            </w:pPr>
            <w:r>
              <w:rPr>
                <w:sz w:val="17"/>
              </w:rPr>
              <w:t>Power users</w:t>
              <w:br/>
              <w:t>10+ trips/week</w:t>
            </w:r>
          </w:p>
        </w:tc>
        <w:tc>
          <w:tcPr>
            <w:tcW w:type="dxa" w:w="1170"/>
            <w:shd w:val="clear" w:color="auto" w:fill="FDFEFE"/>
          </w:tcPr>
          <w:p>
            <w:pPr>
              <w:spacing w:before="40" w:after="40"/>
            </w:pPr>
            <w:r>
              <w:rPr>
                <w:sz w:val="17"/>
              </w:rPr>
              <w:t>+JD 19.99 ARPU</w:t>
            </w:r>
          </w:p>
        </w:tc>
      </w:tr>
    </w:tbl>
    <w:p/>
    <w:p>
      <w:pPr>
        <w:spacing w:before="320" w:after="80"/>
      </w:pPr>
      <w:r>
        <w:rPr>
          <w:b/>
          <w:color w:val="177EA1"/>
          <w:sz w:val="28"/>
        </w:rPr>
        <w:t>3.4  Margin Analysis — Framework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77EA1"/>
          </w:tcPr>
          <w:p>
            <w:pPr>
              <w:jc w:val="center"/>
            </w:pPr>
            <w:r>
              <w:rPr>
                <w:b/>
                <w:color w:val="FFFFFF"/>
                <w:sz w:val="19"/>
              </w:rPr>
              <w:t>Metric</w:t>
            </w:r>
          </w:p>
        </w:tc>
        <w:tc>
          <w:tcPr>
            <w:tcW w:type="dxa" w:w="2340"/>
            <w:shd w:val="clear" w:color="auto" w:fill="177EA1"/>
          </w:tcPr>
          <w:p>
            <w:pPr>
              <w:jc w:val="center"/>
            </w:pPr>
            <w:r>
              <w:rPr>
                <w:b/>
                <w:color w:val="FFFFFF"/>
                <w:sz w:val="19"/>
              </w:rPr>
              <w:t>Framework A (Dynamic)</w:t>
            </w:r>
          </w:p>
        </w:tc>
        <w:tc>
          <w:tcPr>
            <w:tcW w:type="dxa" w:w="2340"/>
            <w:shd w:val="clear" w:color="auto" w:fill="177EA1"/>
          </w:tcPr>
          <w:p>
            <w:pPr>
              <w:jc w:val="center"/>
            </w:pPr>
            <w:r>
              <w:rPr>
                <w:b/>
                <w:color w:val="FFFFFF"/>
                <w:sz w:val="19"/>
              </w:rPr>
              <w:t>Framework B (Predictable)</w:t>
            </w:r>
          </w:p>
        </w:tc>
        <w:tc>
          <w:tcPr>
            <w:tcW w:type="dxa" w:w="2340"/>
            <w:shd w:val="clear" w:color="auto" w:fill="177EA1"/>
          </w:tcPr>
          <w:p>
            <w:pPr>
              <w:jc w:val="center"/>
            </w:pPr>
            <w:r>
              <w:rPr>
                <w:b/>
                <w:color w:val="FFFFFF"/>
                <w:sz w:val="19"/>
              </w:rPr>
              <w:t>Framework C (Hybrid — Recommended)</w:t>
            </w:r>
          </w:p>
        </w:tc>
      </w:tr>
      <w:tr>
        <w:tc>
          <w:tcPr>
            <w:tcW w:type="dxa" w:w="2340"/>
            <w:shd w:val="clear" w:color="auto" w:fill="EBF5FB"/>
          </w:tcPr>
          <w:p>
            <w:pPr>
              <w:spacing w:before="40" w:after="40"/>
            </w:pPr>
            <w:r>
              <w:rPr>
                <w:sz w:val="18"/>
              </w:rPr>
              <w:t>Rider conversion rate</w:t>
            </w:r>
          </w:p>
        </w:tc>
        <w:tc>
          <w:tcPr>
            <w:tcW w:type="dxa" w:w="2340"/>
            <w:shd w:val="clear" w:color="auto" w:fill="EBF5FB"/>
          </w:tcPr>
          <w:p>
            <w:pPr>
              <w:spacing w:before="40" w:after="40"/>
            </w:pPr>
            <w:r>
              <w:rPr>
                <w:sz w:val="18"/>
              </w:rPr>
              <w:t>Baseline (100%)</w:t>
            </w:r>
          </w:p>
        </w:tc>
        <w:tc>
          <w:tcPr>
            <w:tcW w:type="dxa" w:w="2340"/>
            <w:shd w:val="clear" w:color="auto" w:fill="EBF5FB"/>
          </w:tcPr>
          <w:p>
            <w:pPr>
              <w:spacing w:before="40" w:after="40"/>
            </w:pPr>
            <w:r>
              <w:rPr>
                <w:sz w:val="18"/>
              </w:rPr>
              <w:t>+8% (price certainty)</w:t>
            </w:r>
          </w:p>
        </w:tc>
        <w:tc>
          <w:tcPr>
            <w:tcW w:type="dxa" w:w="2340"/>
            <w:shd w:val="clear" w:color="auto" w:fill="EBF5FB"/>
          </w:tcPr>
          <w:p>
            <w:pPr>
              <w:spacing w:before="40" w:after="40"/>
            </w:pPr>
            <w:r>
              <w:rPr>
                <w:sz w:val="18"/>
              </w:rPr>
              <w:t>+23% (subscription uplift + certainty)</w:t>
            </w:r>
          </w:p>
        </w:tc>
      </w:tr>
      <w:tr>
        <w:tc>
          <w:tcPr>
            <w:tcW w:type="dxa" w:w="2340"/>
            <w:shd w:val="clear" w:color="auto" w:fill="FDFEFE"/>
          </w:tcPr>
          <w:p>
            <w:pPr>
              <w:spacing w:before="40" w:after="40"/>
            </w:pPr>
            <w:r>
              <w:rPr>
                <w:sz w:val="18"/>
              </w:rPr>
              <w:t>Avg rider ARPU / month</w:t>
            </w:r>
          </w:p>
        </w:tc>
        <w:tc>
          <w:tcPr>
            <w:tcW w:type="dxa" w:w="2340"/>
            <w:shd w:val="clear" w:color="auto" w:fill="FDFEFE"/>
          </w:tcPr>
          <w:p>
            <w:pPr>
              <w:spacing w:before="40" w:after="40"/>
            </w:pPr>
            <w:r>
              <w:rPr>
                <w:sz w:val="18"/>
              </w:rPr>
              <w:t>JD 0 (Wasel earns nothing from rides)</w:t>
            </w:r>
          </w:p>
        </w:tc>
        <w:tc>
          <w:tcPr>
            <w:tcW w:type="dxa" w:w="2340"/>
            <w:shd w:val="clear" w:color="auto" w:fill="FDFEFE"/>
          </w:tcPr>
          <w:p>
            <w:pPr>
              <w:spacing w:before="40" w:after="40"/>
            </w:pPr>
            <w:r>
              <w:rPr>
                <w:sz w:val="18"/>
              </w:rPr>
              <w:t>JD 0</w:t>
            </w:r>
          </w:p>
        </w:tc>
        <w:tc>
          <w:tcPr>
            <w:tcW w:type="dxa" w:w="2340"/>
            <w:shd w:val="clear" w:color="auto" w:fill="FDFEFE"/>
          </w:tcPr>
          <w:p>
            <w:pPr>
              <w:spacing w:before="40" w:after="40"/>
            </w:pPr>
            <w:r>
              <w:rPr>
                <w:sz w:val="18"/>
              </w:rPr>
              <w:t>JD 6.20 blended (10% Go, 5% Pass, 1% VIP)</w:t>
            </w:r>
          </w:p>
        </w:tc>
      </w:tr>
      <w:tr>
        <w:tc>
          <w:tcPr>
            <w:tcW w:type="dxa" w:w="2340"/>
            <w:shd w:val="clear" w:color="auto" w:fill="EBF5FB"/>
          </w:tcPr>
          <w:p>
            <w:pPr>
              <w:spacing w:before="40" w:after="40"/>
            </w:pPr>
            <w:r>
              <w:rPr>
                <w:sz w:val="18"/>
              </w:rPr>
              <w:t>Rider churn at M3</w:t>
            </w:r>
          </w:p>
        </w:tc>
        <w:tc>
          <w:tcPr>
            <w:tcW w:type="dxa" w:w="2340"/>
            <w:shd w:val="clear" w:color="auto" w:fill="EBF5FB"/>
          </w:tcPr>
          <w:p>
            <w:pPr>
              <w:spacing w:before="40" w:after="40"/>
            </w:pPr>
            <w:r>
              <w:rPr>
                <w:sz w:val="18"/>
              </w:rPr>
              <w:t>High (no switching cost)</w:t>
            </w:r>
          </w:p>
        </w:tc>
        <w:tc>
          <w:tcPr>
            <w:tcW w:type="dxa" w:w="2340"/>
            <w:shd w:val="clear" w:color="auto" w:fill="EBF5FB"/>
          </w:tcPr>
          <w:p>
            <w:pPr>
              <w:spacing w:before="40" w:after="40"/>
            </w:pPr>
            <w:r>
              <w:rPr>
                <w:sz w:val="18"/>
              </w:rPr>
              <w:t>Medium (pricing trust)</w:t>
            </w:r>
          </w:p>
        </w:tc>
        <w:tc>
          <w:tcPr>
            <w:tcW w:type="dxa" w:w="2340"/>
            <w:shd w:val="clear" w:color="auto" w:fill="EBF5FB"/>
          </w:tcPr>
          <w:p>
            <w:pPr>
              <w:spacing w:before="40" w:after="40"/>
            </w:pPr>
            <w:r>
              <w:rPr>
                <w:sz w:val="18"/>
              </w:rPr>
              <w:t>Low (subscription + loyalty layer)</w:t>
            </w:r>
          </w:p>
        </w:tc>
      </w:tr>
      <w:tr>
        <w:tc>
          <w:tcPr>
            <w:tcW w:type="dxa" w:w="2340"/>
            <w:shd w:val="clear" w:color="auto" w:fill="FDFEFE"/>
          </w:tcPr>
          <w:p>
            <w:pPr>
              <w:spacing w:before="40" w:after="40"/>
            </w:pPr>
            <w:r>
              <w:rPr>
                <w:sz w:val="18"/>
              </w:rPr>
              <w:t>Revenue volatility</w:t>
            </w:r>
          </w:p>
        </w:tc>
        <w:tc>
          <w:tcPr>
            <w:tcW w:type="dxa" w:w="2340"/>
            <w:shd w:val="clear" w:color="auto" w:fill="FDFEFE"/>
          </w:tcPr>
          <w:p>
            <w:pPr>
              <w:spacing w:before="40" w:after="40"/>
            </w:pPr>
            <w:r>
              <w:rPr>
                <w:sz w:val="18"/>
              </w:rPr>
              <w:t>Extreme (surge-dependent)</w:t>
            </w:r>
          </w:p>
        </w:tc>
        <w:tc>
          <w:tcPr>
            <w:tcW w:type="dxa" w:w="2340"/>
            <w:shd w:val="clear" w:color="auto" w:fill="FDFEFE"/>
          </w:tcPr>
          <w:p>
            <w:pPr>
              <w:spacing w:before="40" w:after="40"/>
            </w:pPr>
            <w:r>
              <w:rPr>
                <w:sz w:val="18"/>
              </w:rPr>
              <w:t>Low (predictable volume)</w:t>
            </w:r>
          </w:p>
        </w:tc>
        <w:tc>
          <w:tcPr>
            <w:tcW w:type="dxa" w:w="2340"/>
            <w:shd w:val="clear" w:color="auto" w:fill="FDFEFE"/>
          </w:tcPr>
          <w:p>
            <w:pPr>
              <w:spacing w:before="40" w:after="40"/>
            </w:pPr>
            <w:r>
              <w:rPr>
                <w:sz w:val="18"/>
              </w:rPr>
              <w:t>Very low (recurring subscription base)</w:t>
            </w:r>
          </w:p>
        </w:tc>
      </w:tr>
      <w:tr>
        <w:tc>
          <w:tcPr>
            <w:tcW w:type="dxa" w:w="2340"/>
            <w:shd w:val="clear" w:color="auto" w:fill="EBF5FB"/>
          </w:tcPr>
          <w:p>
            <w:pPr>
              <w:spacing w:before="40" w:after="40"/>
            </w:pPr>
            <w:r>
              <w:rPr>
                <w:sz w:val="18"/>
              </w:rPr>
              <w:t>Competitor replication risk</w:t>
            </w:r>
          </w:p>
        </w:tc>
        <w:tc>
          <w:tcPr>
            <w:tcW w:type="dxa" w:w="2340"/>
            <w:shd w:val="clear" w:color="auto" w:fill="EBF5FB"/>
          </w:tcPr>
          <w:p>
            <w:pPr>
              <w:spacing w:before="40" w:after="40"/>
            </w:pPr>
            <w:r>
              <w:rPr>
                <w:sz w:val="18"/>
              </w:rPr>
              <w:t>None (Uber already does this)</w:t>
            </w:r>
          </w:p>
        </w:tc>
        <w:tc>
          <w:tcPr>
            <w:tcW w:type="dxa" w:w="2340"/>
            <w:shd w:val="clear" w:color="auto" w:fill="EBF5FB"/>
          </w:tcPr>
          <w:p>
            <w:pPr>
              <w:spacing w:before="40" w:after="40"/>
            </w:pPr>
            <w:r>
              <w:rPr>
                <w:sz w:val="18"/>
              </w:rPr>
              <w:t>Medium (Uber can price-lock temporarily)</w:t>
            </w:r>
          </w:p>
        </w:tc>
        <w:tc>
          <w:tcPr>
            <w:tcW w:type="dxa" w:w="2340"/>
            <w:shd w:val="clear" w:color="auto" w:fill="EBF5FB"/>
          </w:tcPr>
          <w:p>
            <w:pPr>
              <w:spacing w:before="40" w:after="40"/>
            </w:pPr>
            <w:r>
              <w:rPr>
                <w:sz w:val="18"/>
              </w:rPr>
              <w:t>High effort (subscription infra + driver flat-fee model required)</w:t>
            </w:r>
          </w:p>
        </w:tc>
      </w:tr>
      <w:tr>
        <w:tc>
          <w:tcPr>
            <w:tcW w:type="dxa" w:w="2340"/>
            <w:shd w:val="clear" w:color="auto" w:fill="FDFEFE"/>
          </w:tcPr>
          <w:p>
            <w:pPr>
              <w:spacing w:before="40" w:after="40"/>
            </w:pPr>
            <w:r>
              <w:rPr>
                <w:sz w:val="18"/>
              </w:rPr>
              <w:t>Year 1 incremental rider revenue</w:t>
            </w:r>
          </w:p>
        </w:tc>
        <w:tc>
          <w:tcPr>
            <w:tcW w:type="dxa" w:w="2340"/>
            <w:shd w:val="clear" w:color="auto" w:fill="FDFEFE"/>
          </w:tcPr>
          <w:p>
            <w:pPr>
              <w:spacing w:before="40" w:after="40"/>
            </w:pPr>
            <w:r>
              <w:rPr>
                <w:sz w:val="18"/>
              </w:rPr>
              <w:t>JD 0</w:t>
            </w:r>
          </w:p>
        </w:tc>
        <w:tc>
          <w:tcPr>
            <w:tcW w:type="dxa" w:w="2340"/>
            <w:shd w:val="clear" w:color="auto" w:fill="FDFEFE"/>
          </w:tcPr>
          <w:p>
            <w:pPr>
              <w:spacing w:before="40" w:after="40"/>
            </w:pPr>
            <w:r>
              <w:rPr>
                <w:sz w:val="18"/>
              </w:rPr>
              <w:t>JD 0</w:t>
            </w:r>
          </w:p>
        </w:tc>
        <w:tc>
          <w:tcPr>
            <w:tcW w:type="dxa" w:w="2340"/>
            <w:shd w:val="clear" w:color="auto" w:fill="FDFEFE"/>
          </w:tcPr>
          <w:p>
            <w:pPr>
              <w:spacing w:before="40" w:after="40"/>
            </w:pPr>
            <w:r>
              <w:rPr>
                <w:sz w:val="18"/>
              </w:rPr>
              <w:t>JD 195,519 (base model)</w:t>
            </w:r>
          </w:p>
        </w:tc>
      </w:tr>
      <w:tr>
        <w:tc>
          <w:tcPr>
            <w:tcW w:type="dxa" w:w="2340"/>
            <w:shd w:val="clear" w:color="auto" w:fill="EBF5FB"/>
          </w:tcPr>
          <w:p>
            <w:pPr>
              <w:spacing w:before="40" w:after="40"/>
            </w:pPr>
            <w:r>
              <w:rPr>
                <w:sz w:val="18"/>
              </w:rPr>
              <w:t>Year 1 rider revenue (revised model)</w:t>
            </w:r>
          </w:p>
        </w:tc>
        <w:tc>
          <w:tcPr>
            <w:tcW w:type="dxa" w:w="2340"/>
            <w:shd w:val="clear" w:color="auto" w:fill="EBF5FB"/>
          </w:tcPr>
          <w:p>
            <w:pPr>
              <w:spacing w:before="40" w:after="40"/>
            </w:pPr>
            <w:r>
              <w:rPr>
                <w:sz w:val="18"/>
              </w:rPr>
              <w:t>JD 0</w:t>
            </w:r>
          </w:p>
        </w:tc>
        <w:tc>
          <w:tcPr>
            <w:tcW w:type="dxa" w:w="2340"/>
            <w:shd w:val="clear" w:color="auto" w:fill="EBF5FB"/>
          </w:tcPr>
          <w:p>
            <w:pPr>
              <w:spacing w:before="40" w:after="40"/>
            </w:pPr>
            <w:r>
              <w:rPr>
                <w:sz w:val="18"/>
              </w:rPr>
              <w:t>JD 0</w:t>
            </w:r>
          </w:p>
        </w:tc>
        <w:tc>
          <w:tcPr>
            <w:tcW w:type="dxa" w:w="2340"/>
            <w:shd w:val="clear" w:color="auto" w:fill="EBF5FB"/>
          </w:tcPr>
          <w:p>
            <w:pPr>
              <w:spacing w:before="40" w:after="40"/>
            </w:pPr>
            <w:r>
              <w:rPr>
                <w:sz w:val="18"/>
              </w:rPr>
              <w:t>JD 287,000+ (with VIP tier)</w:t>
            </w:r>
          </w:p>
        </w:tc>
      </w:tr>
    </w:tbl>
    <w:p/>
    <w:p>
      <w:pPr>
        <w:spacing w:before="320" w:after="80"/>
      </w:pPr>
      <w:r>
        <w:rPr>
          <w:b/>
          <w:color w:val="177EA1"/>
          <w:sz w:val="28"/>
        </w:rPr>
        <w:t>3.5  Competitive Response Analysis — Defensive Strategy</w:t>
      </w:r>
    </w:p>
    <w:p>
      <w:pPr>
        <w:spacing w:before="40" w:after="100"/>
      </w:pPr>
      <w:r>
        <w:rPr>
          <w:b w:val="0"/>
          <w:i w:val="0"/>
          <w:color w:val="3D3D3D"/>
          <w:sz w:val="21"/>
        </w:rPr>
        <w:t>Assume Uber/Careem react strategically within 90 days of Wasel's public launch. Model their most likely responses and Wasel's pre-built countermeasures.</w:t>
      </w:r>
    </w:p>
    <w:tbl>
      <w:tblPr>
        <w:tblStyle w:val="TableGrid"/>
        <w:tblW w:type="auto" w:w="0"/>
        <w:tblLook w:firstColumn="1" w:firstRow="1" w:lastColumn="0" w:lastRow="0" w:noHBand="0" w:noVBand="1" w:val="04A0"/>
      </w:tblPr>
      <w:tblGrid>
        <w:gridCol w:w="4680"/>
        <w:gridCol w:w="4680"/>
      </w:tblGrid>
      <w:tr>
        <w:tc>
          <w:tcPr>
            <w:tcW w:type="dxa" w:w="4680"/>
            <w:shd w:val="clear" w:color="auto" w:fill="B5251C"/>
          </w:tcPr>
          <w:p>
            <w:r>
              <w:rPr>
                <w:b/>
                <w:color w:val="FFFFFF"/>
                <w:sz w:val="18"/>
              </w:rPr>
              <w:t>Competitor Move</w:t>
            </w:r>
          </w:p>
        </w:tc>
        <w:tc>
          <w:tcPr>
            <w:tcW w:type="dxa" w:w="4680"/>
            <w:shd w:val="clear" w:color="auto" w:fill="FDEDEC"/>
          </w:tcPr>
          <w:p>
            <w:pPr>
              <w:spacing w:before="40" w:after="40"/>
            </w:pPr>
            <w:r>
              <w:rPr>
                <w:sz w:val="18"/>
              </w:rPr>
              <w:t>Uber temporarily removes surge in Amman</w:t>
            </w:r>
          </w:p>
        </w:tc>
      </w:tr>
      <w:tr>
        <w:tc>
          <w:tcPr>
            <w:tcW w:type="dxa" w:w="4680"/>
            <w:shd w:val="clear" w:color="auto" w:fill="14783E"/>
          </w:tcPr>
          <w:p>
            <w:r>
              <w:rPr>
                <w:b/>
                <w:color w:val="FFFFFF"/>
                <w:sz w:val="18"/>
              </w:rPr>
              <w:t>Wasel Counter</w:t>
            </w:r>
          </w:p>
        </w:tc>
        <w:tc>
          <w:tcPr>
            <w:tcW w:type="dxa" w:w="4680"/>
            <w:shd w:val="clear" w:color="auto" w:fill="EAFAF1"/>
          </w:tcPr>
          <w:p>
            <w:pPr>
              <w:spacing w:before="40" w:after="40"/>
            </w:pPr>
            <w:r>
              <w:rPr>
                <w:sz w:val="18"/>
              </w:rPr>
              <w:t>Wasel retains structural advantage: driver economics (JD 143/mo savings vs. 30% commission) don't change. Pass/VIP riders are committed subscribers. Uber cannot sustain surge removal — it destroys their profitability.</w:t>
            </w:r>
          </w:p>
        </w:tc>
      </w:tr>
      <w:tr>
        <w:tc>
          <w:tcPr>
            <w:tcW w:type="dxa" w:w="4680"/>
            <w:shd w:val="clear" w:color="auto" w:fill="1A5376"/>
          </w:tcPr>
          <w:p>
            <w:r>
              <w:rPr>
                <w:b/>
                <w:color w:val="FFFFFF"/>
                <w:sz w:val="18"/>
              </w:rPr>
              <w:t>Messaging Response</w:t>
            </w:r>
          </w:p>
        </w:tc>
        <w:tc>
          <w:tcPr>
            <w:tcW w:type="dxa" w:w="4680"/>
            <w:shd w:val="clear" w:color="auto" w:fill="EBF5FB"/>
          </w:tcPr>
          <w:p>
            <w:pPr>
              <w:spacing w:before="40" w:after="40"/>
            </w:pPr>
            <w:r>
              <w:rPr>
                <w:sz w:val="18"/>
              </w:rPr>
              <w:t>Wasel Fairness Report highlights: 'Even with Uber's temporary no-surge campaign, our drivers kept 100% of every fare. Compare your last month's numbers.'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B5251C"/>
          </w:tcPr>
          <w:p>
            <w:r>
              <w:rPr>
                <w:b/>
                <w:color w:val="FFFFFF"/>
                <w:sz w:val="18"/>
              </w:rPr>
              <w:t>Competitor Move</w:t>
            </w:r>
          </w:p>
        </w:tc>
        <w:tc>
          <w:tcPr>
            <w:tcW w:type="dxa" w:w="4680"/>
            <w:shd w:val="clear" w:color="auto" w:fill="FDEDEC"/>
          </w:tcPr>
          <w:p>
            <w:pPr>
              <w:spacing w:before="40" w:after="40"/>
            </w:pPr>
            <w:r>
              <w:rPr>
                <w:sz w:val="18"/>
              </w:rPr>
              <w:t>Careem launches a subscription tier</w:t>
            </w:r>
          </w:p>
        </w:tc>
      </w:tr>
      <w:tr>
        <w:tc>
          <w:tcPr>
            <w:tcW w:type="dxa" w:w="4680"/>
            <w:shd w:val="clear" w:color="auto" w:fill="14783E"/>
          </w:tcPr>
          <w:p>
            <w:r>
              <w:rPr>
                <w:b/>
                <w:color w:val="FFFFFF"/>
                <w:sz w:val="18"/>
              </w:rPr>
              <w:t>Wasel Counter</w:t>
            </w:r>
          </w:p>
        </w:tc>
        <w:tc>
          <w:tcPr>
            <w:tcW w:type="dxa" w:w="4680"/>
            <w:shd w:val="clear" w:color="auto" w:fill="EAFAF1"/>
          </w:tcPr>
          <w:p>
            <w:pPr>
              <w:spacing w:before="40" w:after="40"/>
            </w:pPr>
            <w:r>
              <w:rPr>
                <w:sz w:val="18"/>
              </w:rPr>
              <w:t>They must share subscription revenue with Uber global P&amp;L. Their driver model still takes 30% commission. A Careem subscription is a loyalty card layered on top of an extraction model.</w:t>
            </w:r>
          </w:p>
        </w:tc>
      </w:tr>
      <w:tr>
        <w:tc>
          <w:tcPr>
            <w:tcW w:type="dxa" w:w="4680"/>
            <w:shd w:val="clear" w:color="auto" w:fill="1A5376"/>
          </w:tcPr>
          <w:p>
            <w:r>
              <w:rPr>
                <w:b/>
                <w:color w:val="FFFFFF"/>
                <w:sz w:val="18"/>
              </w:rPr>
              <w:t>Messaging Response</w:t>
            </w:r>
          </w:p>
        </w:tc>
        <w:tc>
          <w:tcPr>
            <w:tcW w:type="dxa" w:w="4680"/>
            <w:shd w:val="clear" w:color="auto" w:fill="EBF5FB"/>
          </w:tcPr>
          <w:p>
            <w:pPr>
              <w:spacing w:before="40" w:after="40"/>
            </w:pPr>
            <w:r>
              <w:rPr>
                <w:sz w:val="18"/>
              </w:rPr>
              <w:t>Message: 'A subscription on a commission platform is a discount on injustice. Wasel's subscription is a discount on fairness.'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B5251C"/>
          </w:tcPr>
          <w:p>
            <w:r>
              <w:rPr>
                <w:b/>
                <w:color w:val="FFFFFF"/>
                <w:sz w:val="18"/>
              </w:rPr>
              <w:t>Competitor Move</w:t>
            </w:r>
          </w:p>
        </w:tc>
        <w:tc>
          <w:tcPr>
            <w:tcW w:type="dxa" w:w="4680"/>
            <w:shd w:val="clear" w:color="auto" w:fill="FDEDEC"/>
          </w:tcPr>
          <w:p>
            <w:pPr>
              <w:spacing w:before="40" w:after="40"/>
            </w:pPr>
            <w:r>
              <w:rPr>
                <w:sz w:val="18"/>
              </w:rPr>
              <w:t>Uber/Careem increase promotional spend (free rides, deep discounts)</w:t>
            </w:r>
          </w:p>
        </w:tc>
      </w:tr>
      <w:tr>
        <w:tc>
          <w:tcPr>
            <w:tcW w:type="dxa" w:w="4680"/>
            <w:shd w:val="clear" w:color="auto" w:fill="14783E"/>
          </w:tcPr>
          <w:p>
            <w:r>
              <w:rPr>
                <w:b/>
                <w:color w:val="FFFFFF"/>
                <w:sz w:val="18"/>
              </w:rPr>
              <w:t>Wasel Counter</w:t>
            </w:r>
          </w:p>
        </w:tc>
        <w:tc>
          <w:tcPr>
            <w:tcW w:type="dxa" w:w="4680"/>
            <w:shd w:val="clear" w:color="auto" w:fill="EAFAF1"/>
          </w:tcPr>
          <w:p>
            <w:pPr>
              <w:spacing w:before="40" w:after="40"/>
            </w:pPr>
            <w:r>
              <w:rPr>
                <w:sz w:val="18"/>
              </w:rPr>
              <w:t>Temporary promotions create temporary riders. Wasel's goal is structural loyalty. Subscribers are not acquired by promotions — they're retained by product.</w:t>
            </w:r>
          </w:p>
        </w:tc>
      </w:tr>
      <w:tr>
        <w:tc>
          <w:tcPr>
            <w:tcW w:type="dxa" w:w="4680"/>
            <w:shd w:val="clear" w:color="auto" w:fill="1A5376"/>
          </w:tcPr>
          <w:p>
            <w:r>
              <w:rPr>
                <w:b/>
                <w:color w:val="FFFFFF"/>
                <w:sz w:val="18"/>
              </w:rPr>
              <w:t>Messaging Response</w:t>
            </w:r>
          </w:p>
        </w:tc>
        <w:tc>
          <w:tcPr>
            <w:tcW w:type="dxa" w:w="4680"/>
            <w:shd w:val="clear" w:color="auto" w:fill="EBF5FB"/>
          </w:tcPr>
          <w:p>
            <w:pPr>
              <w:spacing w:before="40" w:after="40"/>
            </w:pPr>
            <w:r>
              <w:rPr>
                <w:sz w:val="18"/>
              </w:rPr>
              <w:t>Wasel counter-promotion: Match the discount AND offer to upgrade them to Go free for 2 months. Cost JD 10, converts a promo-hunter into a subscriber.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B5251C"/>
          </w:tcPr>
          <w:p>
            <w:r>
              <w:rPr>
                <w:b/>
                <w:color w:val="FFFFFF"/>
                <w:sz w:val="18"/>
              </w:rPr>
              <w:t>Competitor Move</w:t>
            </w:r>
          </w:p>
        </w:tc>
        <w:tc>
          <w:tcPr>
            <w:tcW w:type="dxa" w:w="4680"/>
            <w:shd w:val="clear" w:color="auto" w:fill="FDEDEC"/>
          </w:tcPr>
          <w:p>
            <w:pPr>
              <w:spacing w:before="40" w:after="40"/>
            </w:pPr>
            <w:r>
              <w:rPr>
                <w:sz w:val="18"/>
              </w:rPr>
              <w:t>Uber acquires or invests in a local Jordanian platform (e.g. Jeeny)</w:t>
            </w:r>
          </w:p>
        </w:tc>
      </w:tr>
      <w:tr>
        <w:tc>
          <w:tcPr>
            <w:tcW w:type="dxa" w:w="4680"/>
            <w:shd w:val="clear" w:color="auto" w:fill="14783E"/>
          </w:tcPr>
          <w:p>
            <w:r>
              <w:rPr>
                <w:b/>
                <w:color w:val="FFFFFF"/>
                <w:sz w:val="18"/>
              </w:rPr>
              <w:t>Wasel Counter</w:t>
            </w:r>
          </w:p>
        </w:tc>
        <w:tc>
          <w:tcPr>
            <w:tcW w:type="dxa" w:w="4680"/>
            <w:shd w:val="clear" w:color="auto" w:fill="EAFAF1"/>
          </w:tcPr>
          <w:p>
            <w:pPr>
              <w:spacing w:before="40" w:after="40"/>
            </w:pPr>
            <w:r>
              <w:rPr>
                <w:sz w:val="18"/>
              </w:rPr>
              <w:t>Wasel's Jordanian ownership becomes a factual differentiator, not a political one. A rider who cares about where their money goes has a verified answer with Wasel.</w:t>
            </w:r>
          </w:p>
        </w:tc>
      </w:tr>
      <w:tr>
        <w:tc>
          <w:tcPr>
            <w:tcW w:type="dxa" w:w="4680"/>
            <w:shd w:val="clear" w:color="auto" w:fill="1A5376"/>
          </w:tcPr>
          <w:p>
            <w:r>
              <w:rPr>
                <w:b/>
                <w:color w:val="FFFFFF"/>
                <w:sz w:val="18"/>
              </w:rPr>
              <w:t>Messaging Response</w:t>
            </w:r>
          </w:p>
        </w:tc>
        <w:tc>
          <w:tcPr>
            <w:tcW w:type="dxa" w:w="4680"/>
            <w:shd w:val="clear" w:color="auto" w:fill="EBF5FB"/>
          </w:tcPr>
          <w:p>
            <w:pPr>
              <w:spacing w:before="40" w:after="40"/>
            </w:pPr>
            <w:r>
              <w:rPr>
                <w:sz w:val="18"/>
              </w:rPr>
              <w:t>Transparently publish Jordan corporate registration, team names, investor structure. The Fairness Report does this monthly.</w:t>
            </w:r>
          </w:p>
        </w:tc>
      </w:tr>
    </w:tbl>
    <w:p/>
    <w:p>
      <w:r>
        <w:br w:type="page"/>
      </w:r>
    </w:p>
    <w:tbl>
      <w:tblPr>
        <w:tblW w:type="auto" w:w="0"/>
        <w:jc w:val="center"/>
        <w:tblLook w:firstColumn="1" w:firstRow="1" w:lastColumn="0" w:lastRow="0" w:noHBand="0" w:noVBand="1" w:val="04A0"/>
      </w:tblPr>
      <w:tblGrid>
        <w:gridCol w:w="9360"/>
      </w:tblGrid>
      <w:tr>
        <w:tc>
          <w:tcPr>
            <w:tcW w:type="dxa" w:w="9360"/>
            <w:shd w:val="clear" w:color="auto" w:fill="14783E"/>
          </w:tcPr>
          <w:p>
            <w:pPr>
              <w:spacing w:before="200" w:after="80"/>
              <w:jc w:val="center"/>
            </w:pPr>
            <w:r>
              <w:rPr>
                <w:b/>
                <w:color w:val="FFFFFF"/>
                <w:sz w:val="30"/>
              </w:rPr>
              <w:t>04  RETENTION ENGINEERING</w:t>
            </w:r>
          </w:p>
          <w:p>
            <w:pPr>
              <w:spacing w:after="160"/>
              <w:jc w:val="center"/>
            </w:pPr>
            <w:r>
              <w:rPr>
                <w:i/>
                <w:color w:val="FFFFFF"/>
                <w:sz w:val="18"/>
              </w:rPr>
              <w:t>Week 1 · Month 1 stickiness · Long-term switching costs · Habit loops · Referral mechanics</w:t>
            </w:r>
          </w:p>
        </w:tc>
      </w:tr>
    </w:tbl>
    <w:p/>
    <w:p>
      <w:pPr>
        <w:spacing w:before="320" w:after="80"/>
      </w:pPr>
      <w:r>
        <w:rPr>
          <w:b/>
          <w:color w:val="147A3E"/>
          <w:sz w:val="28"/>
        </w:rPr>
        <w:t>4.1  Week 1 — The First 7 Days Define Everything</w:t>
      </w:r>
    </w:p>
    <w:p>
      <w:pPr>
        <w:spacing w:before="40" w:after="100"/>
      </w:pPr>
      <w:r>
        <w:rPr>
          <w:b w:val="0"/>
          <w:i w:val="0"/>
          <w:color w:val="3D3D3D"/>
          <w:sz w:val="21"/>
        </w:rPr>
        <w:t>Research across mobile consumer apps consistently shows that 70–80% of churn is determined in the first 7 days. The following playbook is designed to eliminate every reason to churn in this window.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4783E"/>
          </w:tcPr>
          <w:p>
            <w:pPr>
              <w:jc w:val="center"/>
            </w:pPr>
            <w:r>
              <w:rPr>
                <w:b/>
                <w:color w:val="FFFFFF"/>
                <w:sz w:val="19"/>
              </w:rPr>
              <w:t>Day</w:t>
            </w:r>
          </w:p>
        </w:tc>
        <w:tc>
          <w:tcPr>
            <w:tcW w:type="dxa" w:w="3120"/>
            <w:shd w:val="clear" w:color="auto" w:fill="14783E"/>
          </w:tcPr>
          <w:p>
            <w:pPr>
              <w:jc w:val="center"/>
            </w:pPr>
            <w:r>
              <w:rPr>
                <w:b/>
                <w:color w:val="FFFFFF"/>
                <w:sz w:val="19"/>
              </w:rPr>
              <w:t>Action</w:t>
            </w:r>
          </w:p>
        </w:tc>
        <w:tc>
          <w:tcPr>
            <w:tcW w:type="dxa" w:w="3120"/>
            <w:shd w:val="clear" w:color="auto" w:fill="14783E"/>
          </w:tcPr>
          <w:p>
            <w:pPr>
              <w:jc w:val="center"/>
            </w:pPr>
            <w:r>
              <w:rPr>
                <w:b/>
                <w:color w:val="FFFFFF"/>
                <w:sz w:val="19"/>
              </w:rPr>
              <w:t>Behavioral Mechanism</w:t>
            </w:r>
          </w:p>
        </w:tc>
      </w:tr>
      <w:tr>
        <w:tc>
          <w:tcPr>
            <w:tcW w:type="dxa" w:w="3120"/>
            <w:shd w:val="clear" w:color="auto" w:fill="EBF5FB"/>
          </w:tcPr>
          <w:p>
            <w:pPr>
              <w:spacing w:before="40" w:after="40"/>
            </w:pPr>
            <w:r>
              <w:rPr>
                <w:sz w:val="18"/>
              </w:rPr>
              <w:t>Day 0 — Registration</w:t>
            </w:r>
          </w:p>
        </w:tc>
        <w:tc>
          <w:tcPr>
            <w:tcW w:type="dxa" w:w="3120"/>
            <w:shd w:val="clear" w:color="auto" w:fill="EBF5FB"/>
          </w:tcPr>
          <w:p>
            <w:pPr>
              <w:spacing w:before="40" w:after="40"/>
            </w:pPr>
            <w:r>
              <w:rPr>
                <w:sz w:val="18"/>
              </w:rPr>
              <w:t>Onboarding in &lt;90 seconds via WhatsApp. No form longer than 4 fields. Immediate confirmation: 'Welcome to Wasel. Your first ride is guaranteed — if it's less than 4 stars, it's free.'</w:t>
            </w:r>
          </w:p>
        </w:tc>
        <w:tc>
          <w:tcPr>
            <w:tcW w:type="dxa" w:w="3120"/>
            <w:shd w:val="clear" w:color="auto" w:fill="EBF5FB"/>
          </w:tcPr>
          <w:p>
            <w:pPr>
              <w:spacing w:before="40" w:after="40"/>
            </w:pPr>
            <w:r>
              <w:rPr>
                <w:sz w:val="18"/>
              </w:rPr>
              <w:t>First Ride Guarantee activated. Sets expectation: Wasel owns the quality outcome.</w:t>
            </w:r>
          </w:p>
        </w:tc>
      </w:tr>
      <w:tr>
        <w:tc>
          <w:tcPr>
            <w:tcW w:type="dxa" w:w="3120"/>
            <w:shd w:val="clear" w:color="auto" w:fill="FDFEFE"/>
          </w:tcPr>
          <w:p>
            <w:pPr>
              <w:spacing w:before="40" w:after="40"/>
            </w:pPr>
            <w:r>
              <w:rPr>
                <w:sz w:val="18"/>
              </w:rPr>
              <w:t>Day 1 — First Ride Trigger</w:t>
            </w:r>
          </w:p>
        </w:tc>
        <w:tc>
          <w:tcPr>
            <w:tcW w:type="dxa" w:w="3120"/>
            <w:shd w:val="clear" w:color="auto" w:fill="FDFEFE"/>
          </w:tcPr>
          <w:p>
            <w:pPr>
              <w:spacing w:before="40" w:after="40"/>
            </w:pPr>
            <w:r>
              <w:rPr>
                <w:sz w:val="18"/>
              </w:rPr>
              <w:t>WhatsApp message at 7:45am: 'Your first Wasel ride is ready. We locked your fare before you even tap.' If no ride by Day 2, send: 'Quick question: what would make your first ride easier?' Open-field response → ops team reads every one.</w:t>
            </w:r>
          </w:p>
        </w:tc>
        <w:tc>
          <w:tcPr>
            <w:tcW w:type="dxa" w:w="3120"/>
            <w:shd w:val="clear" w:color="auto" w:fill="FDFEFE"/>
          </w:tcPr>
          <w:p>
            <w:pPr>
              <w:spacing w:before="40" w:after="40"/>
            </w:pPr>
            <w:r>
              <w:rPr>
                <w:sz w:val="18"/>
              </w:rPr>
              <w:t>The ask converts curiosity into feedback. Builds the feeling of being heard.</w:t>
            </w:r>
          </w:p>
        </w:tc>
      </w:tr>
      <w:tr>
        <w:tc>
          <w:tcPr>
            <w:tcW w:type="dxa" w:w="3120"/>
            <w:shd w:val="clear" w:color="auto" w:fill="EBF5FB"/>
          </w:tcPr>
          <w:p>
            <w:pPr>
              <w:spacing w:before="40" w:after="40"/>
            </w:pPr>
            <w:r>
              <w:rPr>
                <w:sz w:val="18"/>
              </w:rPr>
              <w:t>Day 2 — Post-First-Ride</w:t>
            </w:r>
          </w:p>
        </w:tc>
        <w:tc>
          <w:tcPr>
            <w:tcW w:type="dxa" w:w="3120"/>
            <w:shd w:val="clear" w:color="auto" w:fill="EBF5FB"/>
          </w:tcPr>
          <w:p>
            <w:pPr>
              <w:spacing w:before="40" w:after="40"/>
            </w:pPr>
            <w:r>
              <w:rPr>
                <w:sz w:val="18"/>
              </w:rPr>
              <w:t>After first completed trip: 'You just paid [exact fare], locked before you booked. On Uber, that route averages [+JD X] in surge fees. How was it?' 2-button response: 'Great' / 'Could be better.' Follow up on 'Could be better' within 2 hours.</w:t>
            </w:r>
          </w:p>
        </w:tc>
        <w:tc>
          <w:tcPr>
            <w:tcW w:type="dxa" w:w="3120"/>
            <w:shd w:val="clear" w:color="auto" w:fill="EBF5FB"/>
          </w:tcPr>
          <w:p>
            <w:pPr>
              <w:spacing w:before="40" w:after="40"/>
            </w:pPr>
            <w:r>
              <w:rPr>
                <w:sz w:val="18"/>
              </w:rPr>
              <w:t>Closes the first feedback loop. Makes the economics tangible immediately.</w:t>
            </w:r>
          </w:p>
        </w:tc>
      </w:tr>
      <w:tr>
        <w:tc>
          <w:tcPr>
            <w:tcW w:type="dxa" w:w="3120"/>
            <w:shd w:val="clear" w:color="auto" w:fill="FDFEFE"/>
          </w:tcPr>
          <w:p>
            <w:pPr>
              <w:spacing w:before="40" w:after="40"/>
            </w:pPr>
            <w:r>
              <w:rPr>
                <w:sz w:val="18"/>
              </w:rPr>
              <w:t>Day 3 — Feature Discovery</w:t>
            </w:r>
          </w:p>
        </w:tc>
        <w:tc>
          <w:tcPr>
            <w:tcW w:type="dxa" w:w="3120"/>
            <w:shd w:val="clear" w:color="auto" w:fill="FDFEFE"/>
          </w:tcPr>
          <w:p>
            <w:pPr>
              <w:spacing w:before="40" w:after="40"/>
            </w:pPr>
            <w:r>
              <w:rPr>
                <w:sz w:val="18"/>
              </w:rPr>
              <w:t>WhatsApp: 'Did you know? Tap the share button during your next trip to send a live location to anyone — no app needed on their end.' Safety feature introduced as a tip, not a pitch.</w:t>
            </w:r>
          </w:p>
        </w:tc>
        <w:tc>
          <w:tcPr>
            <w:tcW w:type="dxa" w:w="3120"/>
            <w:shd w:val="clear" w:color="auto" w:fill="FDFEFE"/>
          </w:tcPr>
          <w:p>
            <w:pPr>
              <w:spacing w:before="40" w:after="40"/>
            </w:pPr>
            <w:r>
              <w:rPr>
                <w:sz w:val="18"/>
              </w:rPr>
              <w:t>Introduces WASEL SAFE TRIP™ without a sales message. Behavioral installation.</w:t>
            </w:r>
          </w:p>
        </w:tc>
      </w:tr>
      <w:tr>
        <w:tc>
          <w:tcPr>
            <w:tcW w:type="dxa" w:w="3120"/>
            <w:shd w:val="clear" w:color="auto" w:fill="EBF5FB"/>
          </w:tcPr>
          <w:p>
            <w:pPr>
              <w:spacing w:before="40" w:after="40"/>
            </w:pPr>
            <w:r>
              <w:rPr>
                <w:sz w:val="18"/>
              </w:rPr>
              <w:t>Day 5 — Subscription Nudge</w:t>
            </w:r>
          </w:p>
        </w:tc>
        <w:tc>
          <w:tcPr>
            <w:tcW w:type="dxa" w:w="3120"/>
            <w:shd w:val="clear" w:color="auto" w:fill="EBF5FB"/>
          </w:tcPr>
          <w:p>
            <w:pPr>
              <w:spacing w:before="40" w:after="40"/>
            </w:pPr>
            <w:r>
              <w:rPr>
                <w:sz w:val="18"/>
              </w:rPr>
              <w:t>In-app, post-trip: 'You've taken 3 rides this week. Wasel Go would have saved you [JD X] this week. One tap to activate — cancel anytime.' Pre-populated with actual savings calculation from their rides.</w:t>
            </w:r>
          </w:p>
        </w:tc>
        <w:tc>
          <w:tcPr>
            <w:tcW w:type="dxa" w:w="3120"/>
            <w:shd w:val="clear" w:color="auto" w:fill="EBF5FB"/>
          </w:tcPr>
          <w:p>
            <w:pPr>
              <w:spacing w:before="40" w:after="40"/>
            </w:pPr>
            <w:r>
              <w:rPr>
                <w:sz w:val="18"/>
              </w:rPr>
              <w:t>The nudge is personalized to their actual usage. The number is real. Not generic.</w:t>
            </w:r>
          </w:p>
        </w:tc>
      </w:tr>
      <w:tr>
        <w:tc>
          <w:tcPr>
            <w:tcW w:type="dxa" w:w="3120"/>
            <w:shd w:val="clear" w:color="auto" w:fill="FDFEFE"/>
          </w:tcPr>
          <w:p>
            <w:pPr>
              <w:spacing w:before="40" w:after="40"/>
            </w:pPr>
            <w:r>
              <w:rPr>
                <w:sz w:val="18"/>
              </w:rPr>
              <w:t>Day 7 — Week 1 Summary</w:t>
            </w:r>
          </w:p>
        </w:tc>
        <w:tc>
          <w:tcPr>
            <w:tcW w:type="dxa" w:w="3120"/>
            <w:shd w:val="clear" w:color="auto" w:fill="FDFEFE"/>
          </w:tcPr>
          <w:p>
            <w:pPr>
              <w:spacing w:before="40" w:after="40"/>
            </w:pPr>
            <w:r>
              <w:rPr>
                <w:sz w:val="18"/>
              </w:rPr>
              <w:t>WhatsApp: 'Your week with Wasel: 4 rides, JD [X] saved vs. Uber estimate, [Driver Name] rated 4.9. Your reliability score improves with each trip.' First introduction to the 'Your Wasel Portfolio' concept.</w:t>
            </w:r>
          </w:p>
        </w:tc>
        <w:tc>
          <w:tcPr>
            <w:tcW w:type="dxa" w:w="3120"/>
            <w:shd w:val="clear" w:color="auto" w:fill="FDFEFE"/>
          </w:tcPr>
          <w:p>
            <w:pPr>
              <w:spacing w:before="40" w:after="40"/>
            </w:pPr>
            <w:r>
              <w:rPr>
                <w:sz w:val="18"/>
              </w:rPr>
              <w:t>Sets up the portfolio identity concept. Begins building switching cost from Day 7.</w:t>
            </w:r>
          </w:p>
        </w:tc>
      </w:tr>
    </w:tbl>
    <w:p/>
    <w:p>
      <w:pPr>
        <w:spacing w:before="320" w:after="80"/>
      </w:pPr>
      <w:r>
        <w:rPr>
          <w:b/>
          <w:color w:val="147A3E"/>
          <w:sz w:val="28"/>
        </w:rPr>
        <w:t>4.2  Month 1 — Stickiness Triggers</w:t>
      </w:r>
    </w:p>
    <w:p>
      <w:pPr>
        <w:pStyle w:val="ListBullet"/>
        <w:spacing w:before="20" w:after="40"/>
      </w:pPr>
      <w:r>
        <w:rPr>
          <w:b/>
          <w:color w:val="147A3E"/>
          <w:sz w:val="20"/>
        </w:rPr>
        <w:t xml:space="preserve">Subscription activation window:  </w:t>
      </w:r>
      <w:r>
        <w:rPr>
          <w:color w:val="3D3D3D"/>
          <w:sz w:val="20"/>
        </w:rPr>
        <w:t>Day 8–14 is the peak window for subscription conversion — rider has enough experience to see value but hasn't settled into habits yet. Push personalized upgrade offer on Day 10 using actual ride data. Expected conversion: 22–28% of active riders to paid tiers.</w:t>
      </w:r>
    </w:p>
    <w:p>
      <w:pPr>
        <w:pStyle w:val="ListBullet"/>
        <w:spacing w:before="20" w:after="40"/>
      </w:pPr>
      <w:r>
        <w:rPr>
          <w:b/>
          <w:color w:val="147A3E"/>
          <w:sz w:val="20"/>
        </w:rPr>
        <w:t xml:space="preserve">Preferred driver pinning:  </w:t>
      </w:r>
      <w:r>
        <w:rPr>
          <w:color w:val="3D3D3D"/>
          <w:sz w:val="20"/>
        </w:rPr>
        <w:t>After 3 rides with the same driver rated 4.5+, prompt appears: 'Pin [Name] as your preferred driver?' If accepted, this creates a platform-specific relationship that cannot be transferred. Every pinned driver = a non-portable switching cost.</w:t>
      </w:r>
    </w:p>
    <w:p>
      <w:pPr>
        <w:pStyle w:val="ListBullet"/>
        <w:spacing w:before="20" w:after="40"/>
      </w:pPr>
      <w:r>
        <w:rPr>
          <w:b/>
          <w:color w:val="147A3E"/>
          <w:sz w:val="20"/>
        </w:rPr>
        <w:t xml:space="preserve">Wallet top-up habit:  </w:t>
      </w:r>
      <w:r>
        <w:rPr>
          <w:color w:val="3D3D3D"/>
          <w:sz w:val="20"/>
        </w:rPr>
        <w:t>For cash-preference riders: first wallet top-up triggers a JD 1.00 bonus credit. 'You topped up JD 10 — we added JD 1 for you.' Establishes the wallet as the primary payment default. Creates a stored value that must be abandoned upon switching.</w:t>
      </w:r>
    </w:p>
    <w:p>
      <w:pPr>
        <w:pStyle w:val="ListBullet"/>
        <w:spacing w:before="20" w:after="40"/>
      </w:pPr>
      <w:r>
        <w:rPr>
          <w:b/>
          <w:color w:val="147A3E"/>
          <w:sz w:val="20"/>
        </w:rPr>
        <w:t xml:space="preserve">Streak activation:  </w:t>
      </w:r>
      <w:r>
        <w:rPr>
          <w:color w:val="3D3D3D"/>
          <w:sz w:val="20"/>
        </w:rPr>
        <w:t>If rider completes 5 rides in Week 1, Week 2 opener: 'You're on a 5-ride streak. Keep it going this week for a 15% discount on your next ride.' Streak is psychologically stickier than points because it can be 'lost.'</w:t>
      </w:r>
    </w:p>
    <w:p>
      <w:pPr>
        <w:pStyle w:val="ListBullet"/>
        <w:spacing w:before="20" w:after="40"/>
      </w:pPr>
      <w:r>
        <w:rPr>
          <w:b/>
          <w:color w:val="147A3E"/>
          <w:sz w:val="20"/>
        </w:rPr>
        <w:t xml:space="preserve">Corporate account referral:  </w:t>
      </w:r>
      <w:r>
        <w:rPr>
          <w:color w:val="3D3D3D"/>
          <w:sz w:val="20"/>
        </w:rPr>
        <w:t>If rider indicates they travel for work: prompt to share Wasel with their company's operations team. 'Forward this to your office manager: Wasel Corporate eliminates the reimbursement process entirely.' B2B pipeline seeded through B2C riders.</w:t>
      </w:r>
    </w:p>
    <w:p>
      <w:pPr>
        <w:spacing w:before="320" w:after="80"/>
      </w:pPr>
      <w:r>
        <w:rPr>
          <w:b/>
          <w:color w:val="147A3E"/>
          <w:sz w:val="28"/>
        </w:rPr>
        <w:t>4.3  Long-Term Switching Cost Architecture</w:t>
      </w:r>
    </w:p>
    <w:p>
      <w:pPr>
        <w:spacing w:before="40" w:after="100"/>
      </w:pPr>
      <w:r>
        <w:rPr>
          <w:b w:val="0"/>
          <w:i w:val="0"/>
          <w:color w:val="3D3D3D"/>
          <w:sz w:val="21"/>
        </w:rPr>
        <w:t>The goal is to make leaving Wasel feel like a loss, not just an inconvenience. The following assets are built up over time and are deliberately non-portable.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tcPr>
          <w:p>
            <w:pPr>
              <w:jc w:val="center"/>
            </w:pPr>
            <w:r>
              <w:rPr>
                <w:b/>
                <w:color w:val="FFFFFF"/>
                <w:sz w:val="19"/>
              </w:rPr>
              <w:t>Switching Cost Layer</w:t>
            </w:r>
          </w:p>
        </w:tc>
        <w:tc>
          <w:tcPr>
            <w:tcW w:type="dxa" w:w="3120"/>
            <w:shd w:val="clear" w:color="auto" w:fill="0D1B2A"/>
          </w:tcPr>
          <w:p>
            <w:pPr>
              <w:jc w:val="center"/>
            </w:pPr>
            <w:r>
              <w:rPr>
                <w:b/>
                <w:color w:val="FFFFFF"/>
                <w:sz w:val="19"/>
              </w:rPr>
              <w:t>Mechanism</w:t>
            </w:r>
          </w:p>
        </w:tc>
        <w:tc>
          <w:tcPr>
            <w:tcW w:type="dxa" w:w="3120"/>
            <w:shd w:val="clear" w:color="auto" w:fill="0D1B2A"/>
          </w:tcPr>
          <w:p>
            <w:pPr>
              <w:jc w:val="center"/>
            </w:pPr>
            <w:r>
              <w:rPr>
                <w:b/>
                <w:color w:val="FFFFFF"/>
                <w:sz w:val="19"/>
              </w:rPr>
              <w:t>Time to Build</w:t>
            </w:r>
          </w:p>
        </w:tc>
      </w:tr>
      <w:tr>
        <w:tc>
          <w:tcPr>
            <w:tcW w:type="dxa" w:w="3120"/>
            <w:shd w:val="clear" w:color="auto" w:fill="EBF5FB"/>
          </w:tcPr>
          <w:p>
            <w:pPr>
              <w:spacing w:before="40" w:after="40"/>
            </w:pPr>
            <w:r>
              <w:rPr>
                <w:sz w:val="18"/>
              </w:rPr>
              <w:t>Trip History &amp; Analytics</w:t>
            </w:r>
          </w:p>
        </w:tc>
        <w:tc>
          <w:tcPr>
            <w:tcW w:type="dxa" w:w="3120"/>
            <w:shd w:val="clear" w:color="auto" w:fill="EBF5FB"/>
          </w:tcPr>
          <w:p>
            <w:pPr>
              <w:spacing w:before="40" w:after="40"/>
            </w:pPr>
            <w:r>
              <w:rPr>
                <w:sz w:val="18"/>
              </w:rPr>
              <w:t>Monthly personalized report: 'You saved JD 34 vs. Uber this month across 28 trips.' 12 months of this data = a financial record that has personal meaning and zero equivalent on competing platforms.</w:t>
            </w:r>
          </w:p>
        </w:tc>
        <w:tc>
          <w:tcPr>
            <w:tcW w:type="dxa" w:w="3120"/>
            <w:shd w:val="clear" w:color="auto" w:fill="EBF5FB"/>
          </w:tcPr>
          <w:p>
            <w:pPr>
              <w:spacing w:before="40" w:after="40"/>
            </w:pPr>
            <w:r>
              <w:rPr>
                <w:sz w:val="18"/>
              </w:rPr>
              <w:t>Medium — 90+ days</w:t>
            </w:r>
          </w:p>
        </w:tc>
      </w:tr>
      <w:tr>
        <w:tc>
          <w:tcPr>
            <w:tcW w:type="dxa" w:w="3120"/>
            <w:shd w:val="clear" w:color="auto" w:fill="FDFEFE"/>
          </w:tcPr>
          <w:p>
            <w:pPr>
              <w:spacing w:before="40" w:after="40"/>
            </w:pPr>
            <w:r>
              <w:rPr>
                <w:sz w:val="18"/>
              </w:rPr>
              <w:t>Preferred Driver Relationships</w:t>
            </w:r>
          </w:p>
        </w:tc>
        <w:tc>
          <w:tcPr>
            <w:tcW w:type="dxa" w:w="3120"/>
            <w:shd w:val="clear" w:color="auto" w:fill="FDFEFE"/>
          </w:tcPr>
          <w:p>
            <w:pPr>
              <w:spacing w:before="40" w:after="40"/>
            </w:pPr>
            <w:r>
              <w:rPr>
                <w:sz w:val="18"/>
              </w:rPr>
              <w:t>A rider with 3 preferred drivers on Wasel has relationships with specific people on the platform. Switching means starting those relationships from zero on a new app — not just learning new UX.</w:t>
            </w:r>
          </w:p>
        </w:tc>
        <w:tc>
          <w:tcPr>
            <w:tcW w:type="dxa" w:w="3120"/>
            <w:shd w:val="clear" w:color="auto" w:fill="FDFEFE"/>
          </w:tcPr>
          <w:p>
            <w:pPr>
              <w:spacing w:before="40" w:after="40"/>
            </w:pPr>
            <w:r>
              <w:rPr>
                <w:sz w:val="18"/>
              </w:rPr>
              <w:t>High — 60+ days</w:t>
            </w:r>
          </w:p>
        </w:tc>
      </w:tr>
      <w:tr>
        <w:tc>
          <w:tcPr>
            <w:tcW w:type="dxa" w:w="3120"/>
            <w:shd w:val="clear" w:color="auto" w:fill="EBF5FB"/>
          </w:tcPr>
          <w:p>
            <w:pPr>
              <w:spacing w:before="40" w:after="40"/>
            </w:pPr>
            <w:r>
              <w:rPr>
                <w:sz w:val="18"/>
              </w:rPr>
              <w:t>Subscription Tier Status</w:t>
            </w:r>
          </w:p>
        </w:tc>
        <w:tc>
          <w:tcPr>
            <w:tcW w:type="dxa" w:w="3120"/>
            <w:shd w:val="clear" w:color="auto" w:fill="EBF5FB"/>
          </w:tcPr>
          <w:p>
            <w:pPr>
              <w:spacing w:before="40" w:after="40"/>
            </w:pPr>
            <w:r>
              <w:rPr>
                <w:sz w:val="18"/>
              </w:rPr>
              <w:t>VIP tier requires 200+ trips to unlock. A VIP rider who switches forfeits their status permanently. The status is visible to drivers, meaning VIP riders get better service — making the status itself valuable.</w:t>
            </w:r>
          </w:p>
        </w:tc>
        <w:tc>
          <w:tcPr>
            <w:tcW w:type="dxa" w:w="3120"/>
            <w:shd w:val="clear" w:color="auto" w:fill="EBF5FB"/>
          </w:tcPr>
          <w:p>
            <w:pPr>
              <w:spacing w:before="40" w:after="40"/>
            </w:pPr>
            <w:r>
              <w:rPr>
                <w:sz w:val="18"/>
              </w:rPr>
              <w:t>Very High — 6+ months</w:t>
            </w:r>
          </w:p>
        </w:tc>
      </w:tr>
      <w:tr>
        <w:tc>
          <w:tcPr>
            <w:tcW w:type="dxa" w:w="3120"/>
            <w:shd w:val="clear" w:color="auto" w:fill="FDFEFE"/>
          </w:tcPr>
          <w:p>
            <w:pPr>
              <w:spacing w:before="40" w:after="40"/>
            </w:pPr>
            <w:r>
              <w:rPr>
                <w:sz w:val="18"/>
              </w:rPr>
              <w:t>Wallet Balance</w:t>
            </w:r>
          </w:p>
        </w:tc>
        <w:tc>
          <w:tcPr>
            <w:tcW w:type="dxa" w:w="3120"/>
            <w:shd w:val="clear" w:color="auto" w:fill="FDFEFE"/>
          </w:tcPr>
          <w:p>
            <w:pPr>
              <w:spacing w:before="40" w:after="40"/>
            </w:pPr>
            <w:r>
              <w:rPr>
                <w:sz w:val="18"/>
              </w:rPr>
              <w:t>Stored value in the Wasel wallet is a sunk cost. JD 20 in the wallet creates a JD 20 switching barrier. Monthly top-up habit increases this over time.</w:t>
            </w:r>
          </w:p>
        </w:tc>
        <w:tc>
          <w:tcPr>
            <w:tcW w:type="dxa" w:w="3120"/>
            <w:shd w:val="clear" w:color="auto" w:fill="FDFEFE"/>
          </w:tcPr>
          <w:p>
            <w:pPr>
              <w:spacing w:before="40" w:after="40"/>
            </w:pPr>
            <w:r>
              <w:rPr>
                <w:sz w:val="18"/>
              </w:rPr>
              <w:t>Medium — immediate</w:t>
            </w:r>
          </w:p>
        </w:tc>
      </w:tr>
      <w:tr>
        <w:tc>
          <w:tcPr>
            <w:tcW w:type="dxa" w:w="3120"/>
            <w:shd w:val="clear" w:color="auto" w:fill="EBF5FB"/>
          </w:tcPr>
          <w:p>
            <w:pPr>
              <w:spacing w:before="40" w:after="40"/>
            </w:pPr>
            <w:r>
              <w:rPr>
                <w:sz w:val="18"/>
              </w:rPr>
              <w:t>Non-Transferable Trip Credits</w:t>
            </w:r>
          </w:p>
        </w:tc>
        <w:tc>
          <w:tcPr>
            <w:tcW w:type="dxa" w:w="3120"/>
            <w:shd w:val="clear" w:color="auto" w:fill="EBF5FB"/>
          </w:tcPr>
          <w:p>
            <w:pPr>
              <w:spacing w:before="40" w:after="40"/>
            </w:pPr>
            <w:r>
              <w:rPr>
                <w:sz w:val="18"/>
              </w:rPr>
              <w:t>First Ride Guarantee credits, streak rewards, referral credits — all non-transferable. A rider with JD 15 in credits is JD 15 less likely to switch.</w:t>
            </w:r>
          </w:p>
        </w:tc>
        <w:tc>
          <w:tcPr>
            <w:tcW w:type="dxa" w:w="3120"/>
            <w:shd w:val="clear" w:color="auto" w:fill="EBF5FB"/>
          </w:tcPr>
          <w:p>
            <w:pPr>
              <w:spacing w:before="40" w:after="40"/>
            </w:pPr>
            <w:r>
              <w:rPr>
                <w:sz w:val="18"/>
              </w:rPr>
              <w:t>Medium — builds with usage</w:t>
            </w:r>
          </w:p>
        </w:tc>
      </w:tr>
      <w:tr>
        <w:tc>
          <w:tcPr>
            <w:tcW w:type="dxa" w:w="3120"/>
            <w:shd w:val="clear" w:color="auto" w:fill="FDFEFE"/>
          </w:tcPr>
          <w:p>
            <w:pPr>
              <w:spacing w:before="40" w:after="40"/>
            </w:pPr>
            <w:r>
              <w:rPr>
                <w:sz w:val="18"/>
              </w:rPr>
              <w:t>Family Safety Network</w:t>
            </w:r>
          </w:p>
        </w:tc>
        <w:tc>
          <w:tcPr>
            <w:tcW w:type="dxa" w:w="3120"/>
            <w:shd w:val="clear" w:color="auto" w:fill="FDFEFE"/>
          </w:tcPr>
          <w:p>
            <w:pPr>
              <w:spacing w:before="40" w:after="40"/>
            </w:pPr>
            <w:r>
              <w:rPr>
                <w:sz w:val="18"/>
              </w:rPr>
              <w:t>Female riders who have shared live trips with family members have trained those family members to expect Wasel live links. Switching means explaining to their mother why the link stopped working.</w:t>
            </w:r>
          </w:p>
        </w:tc>
        <w:tc>
          <w:tcPr>
            <w:tcW w:type="dxa" w:w="3120"/>
            <w:shd w:val="clear" w:color="auto" w:fill="FDFEFE"/>
          </w:tcPr>
          <w:p>
            <w:pPr>
              <w:spacing w:before="40" w:after="40"/>
            </w:pPr>
            <w:r>
              <w:rPr>
                <w:sz w:val="18"/>
              </w:rPr>
              <w:t>Very High — social dependency</w:t>
            </w:r>
          </w:p>
        </w:tc>
      </w:tr>
    </w:tbl>
    <w:p/>
    <w:p>
      <w:pPr>
        <w:spacing w:before="320" w:after="80"/>
      </w:pPr>
      <w:r>
        <w:rPr>
          <w:b/>
          <w:color w:val="147A3E"/>
          <w:sz w:val="28"/>
        </w:rPr>
        <w:t>4.4  Referral Mechanics — Jordan Social Structure Optimization</w:t>
      </w:r>
    </w:p>
    <w:p>
      <w:pPr>
        <w:spacing w:before="40" w:after="100"/>
      </w:pPr>
      <w:r>
        <w:rPr>
          <w:b w:val="0"/>
          <w:i w:val="0"/>
          <w:color w:val="3D3D3D"/>
          <w:sz w:val="21"/>
        </w:rPr>
        <w:t>Jordan's referral dynamics differ from Western markets in three critical ways: trust flows through pre-existing relationships (not strangers), the family WhatsApp group is the primary media channel, and reciprocity norms are strong (giving a benefit to someone is socially rewarded, not just receiving one).</w:t>
      </w:r>
    </w:p>
    <w:tbl>
      <w:tblPr>
        <w:tblStyle w:val="TableGrid"/>
        <w:tblW w:type="auto" w:w="0"/>
        <w:tblLook w:firstColumn="1" w:firstRow="1" w:lastColumn="0" w:lastRow="0" w:noHBand="0" w:noVBand="1" w:val="04A0"/>
      </w:tblPr>
      <w:tblGrid>
        <w:gridCol w:w="4680"/>
        <w:gridCol w:w="4680"/>
      </w:tblGrid>
      <w:tr>
        <w:tc>
          <w:tcPr>
            <w:tcW w:type="dxa" w:w="4680"/>
            <w:shd w:val="clear" w:color="auto" w:fill="14783E"/>
          </w:tcPr>
          <w:p>
            <w:r>
              <w:rPr>
                <w:b/>
                <w:color w:val="FFFFFF"/>
                <w:sz w:val="18"/>
              </w:rPr>
              <w:t>The 'Give, Not Earn' Frame</w:t>
            </w:r>
          </w:p>
        </w:tc>
        <w:tc>
          <w:tcPr>
            <w:tcW w:type="dxa" w:w="4680"/>
            <w:shd w:val="clear" w:color="auto" w:fill="EBF5FB"/>
          </w:tcPr>
          <w:p>
            <w:pPr>
              <w:spacing w:before="40" w:after="40"/>
            </w:pPr>
            <w:r>
              <w:rPr>
                <w:sz w:val="18"/>
              </w:rPr>
              <w:t>Referral messaging: 'Give your friend a free month of Wasel Go' — NOT 'Earn a reward.' The act of giving is socially rewarded in Jordanian culture. The referrer's social capital increases. The incentive is positioned as a gift, not a transaction.</w:t>
            </w:r>
          </w:p>
        </w:tc>
      </w:tr>
      <w:tr>
        <w:tc>
          <w:tcPr>
            <w:tcW w:type="dxa" w:w="4680"/>
            <w:shd w:val="clear" w:color="auto" w:fill="0D1B2A"/>
          </w:tcPr>
          <w:p>
            <w:r>
              <w:rPr>
                <w:b/>
                <w:color w:val="FFFFFF"/>
                <w:sz w:val="18"/>
              </w:rPr>
              <w:t>Data Point</w:t>
            </w:r>
          </w:p>
        </w:tc>
        <w:tc>
          <w:tcPr>
            <w:tcW w:type="dxa" w:w="4680"/>
            <w:shd w:val="clear" w:color="auto" w:fill="FEF9E7"/>
          </w:tcPr>
          <w:p>
            <w:pPr>
              <w:spacing w:before="40" w:after="40"/>
            </w:pPr>
            <w:r>
              <w:rPr>
                <w:i/>
                <w:color w:val="E56B1F"/>
                <w:sz w:val="18"/>
              </w:rPr>
              <w:t>Estimated referral conversion lift vs. standard 'earn a reward' framing: +40%</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4783E"/>
          </w:tcPr>
          <w:p>
            <w:r>
              <w:rPr>
                <w:b/>
                <w:color w:val="FFFFFF"/>
                <w:sz w:val="18"/>
              </w:rPr>
              <w:t>Family WhatsApp Optimization</w:t>
            </w:r>
          </w:p>
        </w:tc>
        <w:tc>
          <w:tcPr>
            <w:tcW w:type="dxa" w:w="4680"/>
            <w:shd w:val="clear" w:color="auto" w:fill="EBF5FB"/>
          </w:tcPr>
          <w:p>
            <w:pPr>
              <w:spacing w:before="40" w:after="40"/>
            </w:pPr>
            <w:r>
              <w:rPr>
                <w:sz w:val="18"/>
              </w:rPr>
              <w:t>Every live trip share (WASEL SAFE TRIP™) is a referral event disguised as a safety feature. The recipient of the live link sees: 'Open in Wasel — [Name] is using Wasel for safe rides.' One tap downloads the app. The referrer didn't 'refer' — they shared a safety link. The conversion rate is estimated at 3.5× standard referral.</w:t>
            </w:r>
          </w:p>
        </w:tc>
      </w:tr>
      <w:tr>
        <w:tc>
          <w:tcPr>
            <w:tcW w:type="dxa" w:w="4680"/>
            <w:shd w:val="clear" w:color="auto" w:fill="0D1B2A"/>
          </w:tcPr>
          <w:p>
            <w:r>
              <w:rPr>
                <w:b/>
                <w:color w:val="FFFFFF"/>
                <w:sz w:val="18"/>
              </w:rPr>
              <w:t>Data Point</w:t>
            </w:r>
          </w:p>
        </w:tc>
        <w:tc>
          <w:tcPr>
            <w:tcW w:type="dxa" w:w="4680"/>
            <w:shd w:val="clear" w:color="auto" w:fill="FEF9E7"/>
          </w:tcPr>
          <w:p>
            <w:pPr>
              <w:spacing w:before="40" w:after="40"/>
            </w:pPr>
            <w:r>
              <w:rPr>
                <w:i/>
                <w:color w:val="E56B1F"/>
                <w:sz w:val="18"/>
              </w:rPr>
              <w:t>The single highest-leverage organic acquisition channel.</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4783E"/>
          </w:tcPr>
          <w:p>
            <w:r>
              <w:rPr>
                <w:b/>
                <w:color w:val="FFFFFF"/>
                <w:sz w:val="18"/>
              </w:rPr>
              <w:t>The University Connector Network</w:t>
            </w:r>
          </w:p>
        </w:tc>
        <w:tc>
          <w:tcPr>
            <w:tcW w:type="dxa" w:w="4680"/>
            <w:shd w:val="clear" w:color="auto" w:fill="EBF5FB"/>
          </w:tcPr>
          <w:p>
            <w:pPr>
              <w:spacing w:before="40" w:after="40"/>
            </w:pPr>
            <w:r>
              <w:rPr>
                <w:sz w:val="18"/>
              </w:rPr>
              <w:t>One socially connected student per campus receives 30 invite cards with their personal referral code. When a friend registers with their code, the connector earns 1 month Go free. The connector's social identity is tied to being 'the Wasel person on campus.' Social capital outweighs the economic incentive.</w:t>
            </w:r>
          </w:p>
        </w:tc>
      </w:tr>
      <w:tr>
        <w:tc>
          <w:tcPr>
            <w:tcW w:type="dxa" w:w="4680"/>
            <w:shd w:val="clear" w:color="auto" w:fill="0D1B2A"/>
          </w:tcPr>
          <w:p>
            <w:r>
              <w:rPr>
                <w:b/>
                <w:color w:val="FFFFFF"/>
                <w:sz w:val="18"/>
              </w:rPr>
              <w:t>Data Point</w:t>
            </w:r>
          </w:p>
        </w:tc>
        <w:tc>
          <w:tcPr>
            <w:tcW w:type="dxa" w:w="4680"/>
            <w:shd w:val="clear" w:color="auto" w:fill="FEF9E7"/>
          </w:tcPr>
          <w:p>
            <w:pPr>
              <w:spacing w:before="40" w:after="40"/>
            </w:pPr>
            <w:r>
              <w:rPr>
                <w:i/>
                <w:color w:val="E56B1F"/>
                <w:sz w:val="18"/>
              </w:rPr>
              <w:t>Target: 15 campuses × 30 cards = 450 high-trust referral events in M2–M3.</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4783E"/>
          </w:tcPr>
          <w:p>
            <w:r>
              <w:rPr>
                <w:b/>
                <w:color w:val="FFFFFF"/>
                <w:sz w:val="18"/>
              </w:rPr>
              <w:t>Driver-to-Rider Cross Referral</w:t>
            </w:r>
          </w:p>
        </w:tc>
        <w:tc>
          <w:tcPr>
            <w:tcW w:type="dxa" w:w="4680"/>
            <w:shd w:val="clear" w:color="auto" w:fill="EBF5FB"/>
          </w:tcPr>
          <w:p>
            <w:pPr>
              <w:spacing w:before="40" w:after="40"/>
            </w:pPr>
            <w:r>
              <w:rPr>
                <w:sz w:val="18"/>
              </w:rPr>
              <w:t>Driver refers a rider: rider gets 1 month Go free, driver gets JD 5 off next subscription. The driver's incentive is small deliberately — we do not want drivers to become recruiters. But a driver mentioning Wasel to a rider in the car is the highest-trust referral format that exists.</w:t>
            </w:r>
          </w:p>
        </w:tc>
      </w:tr>
      <w:tr>
        <w:tc>
          <w:tcPr>
            <w:tcW w:type="dxa" w:w="4680"/>
            <w:shd w:val="clear" w:color="auto" w:fill="0D1B2A"/>
          </w:tcPr>
          <w:p>
            <w:r>
              <w:rPr>
                <w:b/>
                <w:color w:val="FFFFFF"/>
                <w:sz w:val="18"/>
              </w:rPr>
              <w:t>Data Point</w:t>
            </w:r>
          </w:p>
        </w:tc>
        <w:tc>
          <w:tcPr>
            <w:tcW w:type="dxa" w:w="4680"/>
            <w:shd w:val="clear" w:color="auto" w:fill="FEF9E7"/>
          </w:tcPr>
          <w:p>
            <w:pPr>
              <w:spacing w:before="40" w:after="40"/>
            </w:pPr>
            <w:r>
              <w:rPr>
                <w:i/>
                <w:color w:val="E56B1F"/>
                <w:sz w:val="18"/>
              </w:rPr>
              <w:t>Conversion rate: estimated 35% of driver mentions convert to a sign-up within 48 hours.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4783E"/>
          </w:tcPr>
          <w:p>
            <w:r>
              <w:rPr>
                <w:b/>
                <w:color w:val="FFFFFF"/>
                <w:sz w:val="18"/>
              </w:rPr>
              <w:t>The Streak Share</w:t>
            </w:r>
          </w:p>
        </w:tc>
        <w:tc>
          <w:tcPr>
            <w:tcW w:type="dxa" w:w="4680"/>
            <w:shd w:val="clear" w:color="auto" w:fill="EBF5FB"/>
          </w:tcPr>
          <w:p>
            <w:pPr>
              <w:spacing w:before="40" w:after="40"/>
            </w:pPr>
            <w:r>
              <w:rPr>
                <w:sz w:val="18"/>
              </w:rPr>
              <w:t>Streak milestone unlocked → WhatsApp-shareable graphic: '[Name] just completed their 50th Wasel ride. 50 rides with full price transparency and zero surprise surges.' The share is about the rider's achievement, not Wasel's product. Recipients see it as social proof, not advertising.</w:t>
            </w:r>
          </w:p>
        </w:tc>
      </w:tr>
      <w:tr>
        <w:tc>
          <w:tcPr>
            <w:tcW w:type="dxa" w:w="4680"/>
            <w:shd w:val="clear" w:color="auto" w:fill="0D1B2A"/>
          </w:tcPr>
          <w:p>
            <w:r>
              <w:rPr>
                <w:b/>
                <w:color w:val="FFFFFF"/>
                <w:sz w:val="18"/>
              </w:rPr>
              <w:t>Data Point</w:t>
            </w:r>
          </w:p>
        </w:tc>
        <w:tc>
          <w:tcPr>
            <w:tcW w:type="dxa" w:w="4680"/>
            <w:shd w:val="clear" w:color="auto" w:fill="FEF9E7"/>
          </w:tcPr>
          <w:p>
            <w:pPr>
              <w:spacing w:before="40" w:after="40"/>
            </w:pPr>
            <w:r>
              <w:rPr>
                <w:i/>
                <w:color w:val="E56B1F"/>
                <w:sz w:val="18"/>
              </w:rPr>
              <w:t>Viral coefficient target: 0.4 (meaning 40% of milestone sharers generate at least one new registration).</w:t>
            </w:r>
          </w:p>
        </w:tc>
      </w:tr>
    </w:tbl>
    <w:p/>
    <w:p>
      <w:r>
        <w:br w:type="page"/>
      </w:r>
    </w:p>
    <w:tbl>
      <w:tblPr>
        <w:tblW w:type="auto" w:w="0"/>
        <w:jc w:val="center"/>
        <w:tblLook w:firstColumn="1" w:firstRow="1" w:lastColumn="0" w:lastRow="0" w:noHBand="0" w:noVBand="1" w:val="04A0"/>
      </w:tblPr>
      <w:tblGrid>
        <w:gridCol w:w="9360"/>
      </w:tblGrid>
      <w:tr>
        <w:tc>
          <w:tcPr>
            <w:tcW w:type="dxa" w:w="9360"/>
            <w:shd w:val="clear" w:color="auto" w:fill="C9950A"/>
          </w:tcPr>
          <w:p>
            <w:pPr>
              <w:spacing w:before="200" w:after="80"/>
              <w:jc w:val="center"/>
            </w:pPr>
            <w:r>
              <w:rPr>
                <w:b/>
                <w:color w:val="FFFFFF"/>
                <w:sz w:val="30"/>
              </w:rPr>
              <w:t>05  ECONOMIC MODELING ADJUSTMENTS</w:t>
            </w:r>
          </w:p>
          <w:p>
            <w:pPr>
              <w:spacing w:after="160"/>
              <w:jc w:val="center"/>
            </w:pPr>
            <w:r>
              <w:rPr>
                <w:i/>
                <w:color w:val="FFFFFF"/>
                <w:sz w:val="18"/>
              </w:rPr>
              <w:t>Revised CAC · LTV projections · Surge sensitivity · Subscription volatility buffer</w:t>
            </w:r>
          </w:p>
        </w:tc>
      </w:tr>
    </w:tbl>
    <w:p/>
    <w:p>
      <w:pPr>
        <w:spacing w:before="320" w:after="80"/>
      </w:pPr>
      <w:r>
        <w:rPr>
          <w:b/>
          <w:color w:val="C99A06"/>
          <w:sz w:val="28"/>
        </w:rPr>
        <w:t>5.1  Rider CAC — Revised Assumptions</w:t>
      </w:r>
    </w:p>
    <w:p>
      <w:pPr>
        <w:spacing w:before="40" w:after="100"/>
      </w:pPr>
      <w:r>
        <w:rPr>
          <w:b w:val="0"/>
          <w:i w:val="0"/>
          <w:color w:val="3D3D3D"/>
          <w:sz w:val="21"/>
        </w:rPr>
        <w:t>Current model assumes JD 2.74–4.80 effective CAC with 1.25× boycott multiplier. Revised model replaces boycott multiplier with structural acquisition channels that are reliable and compoundable.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C9950A"/>
          </w:tcPr>
          <w:p>
            <w:pPr>
              <w:jc w:val="center"/>
            </w:pPr>
            <w:r>
              <w:rPr>
                <w:b/>
                <w:color w:val="FFFFFF"/>
                <w:sz w:val="19"/>
              </w:rPr>
              <w:t>Acquisition Channel</w:t>
            </w:r>
          </w:p>
        </w:tc>
        <w:tc>
          <w:tcPr>
            <w:tcW w:type="dxa" w:w="1560"/>
            <w:shd w:val="clear" w:color="auto" w:fill="C9950A"/>
          </w:tcPr>
          <w:p>
            <w:pPr>
              <w:jc w:val="center"/>
            </w:pPr>
            <w:r>
              <w:rPr>
                <w:b/>
                <w:color w:val="FFFFFF"/>
                <w:sz w:val="19"/>
              </w:rPr>
              <w:t>Raw CAC (JOD)</w:t>
            </w:r>
          </w:p>
        </w:tc>
        <w:tc>
          <w:tcPr>
            <w:tcW w:type="dxa" w:w="1560"/>
            <w:shd w:val="clear" w:color="auto" w:fill="C9950A"/>
          </w:tcPr>
          <w:p>
            <w:pPr>
              <w:jc w:val="center"/>
            </w:pPr>
            <w:r>
              <w:rPr>
                <w:b/>
                <w:color w:val="FFFFFF"/>
                <w:sz w:val="19"/>
              </w:rPr>
              <w:t>Structural Multiplier</w:t>
            </w:r>
          </w:p>
        </w:tc>
        <w:tc>
          <w:tcPr>
            <w:tcW w:type="dxa" w:w="1560"/>
            <w:shd w:val="clear" w:color="auto" w:fill="C9950A"/>
          </w:tcPr>
          <w:p>
            <w:pPr>
              <w:jc w:val="center"/>
            </w:pPr>
            <w:r>
              <w:rPr>
                <w:b/>
                <w:color w:val="FFFFFF"/>
                <w:sz w:val="19"/>
              </w:rPr>
              <w:t>Effective CAC (JOD)</w:t>
            </w:r>
          </w:p>
        </w:tc>
        <w:tc>
          <w:tcPr>
            <w:tcW w:type="dxa" w:w="1560"/>
            <w:shd w:val="clear" w:color="auto" w:fill="C9950A"/>
          </w:tcPr>
          <w:p>
            <w:pPr>
              <w:jc w:val="center"/>
            </w:pPr>
            <w:r>
              <w:rPr>
                <w:b/>
                <w:color w:val="FFFFFF"/>
                <w:sz w:val="19"/>
              </w:rPr>
              <w:t>Volume Capacity (M1–M6)</w:t>
            </w:r>
          </w:p>
        </w:tc>
        <w:tc>
          <w:tcPr>
            <w:tcW w:type="dxa" w:w="1560"/>
            <w:shd w:val="clear" w:color="auto" w:fill="C9950A"/>
          </w:tcPr>
          <w:p>
            <w:pPr>
              <w:jc w:val="center"/>
            </w:pPr>
            <w:r>
              <w:rPr>
                <w:b/>
                <w:color w:val="FFFFFF"/>
                <w:sz w:val="19"/>
              </w:rPr>
              <w:t>Reliability</w:t>
            </w:r>
          </w:p>
        </w:tc>
      </w:tr>
      <w:tr>
        <w:tc>
          <w:tcPr>
            <w:tcW w:type="dxa" w:w="1560"/>
            <w:shd w:val="clear" w:color="auto" w:fill="EBF5FB"/>
          </w:tcPr>
          <w:p>
            <w:pPr>
              <w:spacing w:before="40" w:after="40"/>
            </w:pPr>
            <w:r>
              <w:rPr>
                <w:sz w:val="17"/>
              </w:rPr>
              <w:t>WASEL SAFE TRIP™ live link (referral via safety share)</w:t>
            </w:r>
          </w:p>
        </w:tc>
        <w:tc>
          <w:tcPr>
            <w:tcW w:type="dxa" w:w="1560"/>
            <w:shd w:val="clear" w:color="auto" w:fill="EBF5FB"/>
          </w:tcPr>
          <w:p>
            <w:pPr>
              <w:spacing w:before="40" w:after="40"/>
            </w:pPr>
            <w:r>
              <w:rPr>
                <w:sz w:val="17"/>
              </w:rPr>
              <w:t>JD 0 (no spend)</w:t>
            </w:r>
          </w:p>
        </w:tc>
        <w:tc>
          <w:tcPr>
            <w:tcW w:type="dxa" w:w="1560"/>
            <w:shd w:val="clear" w:color="auto" w:fill="EBF5FB"/>
          </w:tcPr>
          <w:p>
            <w:pPr>
              <w:spacing w:before="40" w:after="40"/>
            </w:pPr>
            <w:r>
              <w:rPr>
                <w:sz w:val="17"/>
              </w:rPr>
              <w:t>1.0× (intrinsic)</w:t>
            </w:r>
          </w:p>
        </w:tc>
        <w:tc>
          <w:tcPr>
            <w:tcW w:type="dxa" w:w="1560"/>
            <w:shd w:val="clear" w:color="auto" w:fill="EBF5FB"/>
          </w:tcPr>
          <w:p>
            <w:pPr>
              <w:spacing w:before="40" w:after="40"/>
            </w:pPr>
            <w:r>
              <w:rPr>
                <w:sz w:val="17"/>
              </w:rPr>
              <w:t>JD 0.80 (ops cost only)</w:t>
            </w:r>
          </w:p>
        </w:tc>
        <w:tc>
          <w:tcPr>
            <w:tcW w:type="dxa" w:w="1560"/>
            <w:shd w:val="clear" w:color="auto" w:fill="EBF5FB"/>
          </w:tcPr>
          <w:p>
            <w:pPr>
              <w:spacing w:before="40" w:after="40"/>
            </w:pPr>
            <w:r>
              <w:rPr>
                <w:sz w:val="17"/>
              </w:rPr>
              <w:t>Uncapped — scales with female rider base</w:t>
            </w:r>
          </w:p>
        </w:tc>
        <w:tc>
          <w:tcPr>
            <w:tcW w:type="dxa" w:w="1560"/>
            <w:shd w:val="clear" w:color="auto" w:fill="EBF5FB"/>
          </w:tcPr>
          <w:p>
            <w:pPr>
              <w:spacing w:before="40" w:after="40"/>
            </w:pPr>
            <w:r>
              <w:rPr>
                <w:sz w:val="17"/>
              </w:rPr>
              <w:t>Permanent — safety motivation persists</w:t>
            </w:r>
          </w:p>
        </w:tc>
      </w:tr>
      <w:tr>
        <w:tc>
          <w:tcPr>
            <w:tcW w:type="dxa" w:w="1560"/>
            <w:shd w:val="clear" w:color="auto" w:fill="FDFEFE"/>
          </w:tcPr>
          <w:p>
            <w:pPr>
              <w:spacing w:before="40" w:after="40"/>
            </w:pPr>
            <w:r>
              <w:rPr>
                <w:sz w:val="17"/>
              </w:rPr>
              <w:t>University connector network</w:t>
            </w:r>
          </w:p>
        </w:tc>
        <w:tc>
          <w:tcPr>
            <w:tcW w:type="dxa" w:w="1560"/>
            <w:shd w:val="clear" w:color="auto" w:fill="FDFEFE"/>
          </w:tcPr>
          <w:p>
            <w:pPr>
              <w:spacing w:before="40" w:after="40"/>
            </w:pPr>
            <w:r>
              <w:rPr>
                <w:sz w:val="17"/>
              </w:rPr>
              <w:t>JD 0.50 (card print)</w:t>
            </w:r>
          </w:p>
        </w:tc>
        <w:tc>
          <w:tcPr>
            <w:tcW w:type="dxa" w:w="1560"/>
            <w:shd w:val="clear" w:color="auto" w:fill="FDFEFE"/>
          </w:tcPr>
          <w:p>
            <w:pPr>
              <w:spacing w:before="40" w:after="40"/>
            </w:pPr>
            <w:r>
              <w:rPr>
                <w:sz w:val="17"/>
              </w:rPr>
              <w:t>1.6× (trust conversion)</w:t>
            </w:r>
          </w:p>
        </w:tc>
        <w:tc>
          <w:tcPr>
            <w:tcW w:type="dxa" w:w="1560"/>
            <w:shd w:val="clear" w:color="auto" w:fill="FDFEFE"/>
          </w:tcPr>
          <w:p>
            <w:pPr>
              <w:spacing w:before="40" w:after="40"/>
            </w:pPr>
            <w:r>
              <w:rPr>
                <w:sz w:val="17"/>
              </w:rPr>
              <w:t>JD 1.85</w:t>
            </w:r>
          </w:p>
        </w:tc>
        <w:tc>
          <w:tcPr>
            <w:tcW w:type="dxa" w:w="1560"/>
            <w:shd w:val="clear" w:color="auto" w:fill="FDFEFE"/>
          </w:tcPr>
          <w:p>
            <w:pPr>
              <w:spacing w:before="40" w:after="40"/>
            </w:pPr>
            <w:r>
              <w:rPr>
                <w:sz w:val="17"/>
              </w:rPr>
              <w:t>450 events M2-M3, then self-propagating</w:t>
            </w:r>
          </w:p>
        </w:tc>
        <w:tc>
          <w:tcPr>
            <w:tcW w:type="dxa" w:w="1560"/>
            <w:shd w:val="clear" w:color="auto" w:fill="FDFEFE"/>
          </w:tcPr>
          <w:p>
            <w:pPr>
              <w:spacing w:before="40" w:after="40"/>
            </w:pPr>
            <w:r>
              <w:rPr>
                <w:sz w:val="17"/>
              </w:rPr>
              <w:t>Permanent — social identity driven</w:t>
            </w:r>
          </w:p>
        </w:tc>
      </w:tr>
      <w:tr>
        <w:tc>
          <w:tcPr>
            <w:tcW w:type="dxa" w:w="1560"/>
            <w:shd w:val="clear" w:color="auto" w:fill="EBF5FB"/>
          </w:tcPr>
          <w:p>
            <w:pPr>
              <w:spacing w:before="40" w:after="40"/>
            </w:pPr>
            <w:r>
              <w:rPr>
                <w:sz w:val="17"/>
              </w:rPr>
              <w:t>Subscription upgrade from Standard</w:t>
            </w:r>
          </w:p>
        </w:tc>
        <w:tc>
          <w:tcPr>
            <w:tcW w:type="dxa" w:w="1560"/>
            <w:shd w:val="clear" w:color="auto" w:fill="EBF5FB"/>
          </w:tcPr>
          <w:p>
            <w:pPr>
              <w:spacing w:before="40" w:after="40"/>
            </w:pPr>
            <w:r>
              <w:rPr>
                <w:sz w:val="17"/>
              </w:rPr>
              <w:t>JD 0 (no acquisition cost)</w:t>
            </w:r>
          </w:p>
        </w:tc>
        <w:tc>
          <w:tcPr>
            <w:tcW w:type="dxa" w:w="1560"/>
            <w:shd w:val="clear" w:color="auto" w:fill="EBF5FB"/>
          </w:tcPr>
          <w:p>
            <w:pPr>
              <w:spacing w:before="40" w:after="40"/>
            </w:pPr>
            <w:r>
              <w:rPr>
                <w:sz w:val="17"/>
              </w:rPr>
              <w:t>N/A (internal conversion)</w:t>
            </w:r>
          </w:p>
        </w:tc>
        <w:tc>
          <w:tcPr>
            <w:tcW w:type="dxa" w:w="1560"/>
            <w:shd w:val="clear" w:color="auto" w:fill="EBF5FB"/>
          </w:tcPr>
          <w:p>
            <w:pPr>
              <w:spacing w:before="40" w:after="40"/>
            </w:pPr>
            <w:r>
              <w:rPr>
                <w:sz w:val="17"/>
              </w:rPr>
              <w:t>JD 0.15 (CRM cost)</w:t>
            </w:r>
          </w:p>
        </w:tc>
        <w:tc>
          <w:tcPr>
            <w:tcW w:type="dxa" w:w="1560"/>
            <w:shd w:val="clear" w:color="auto" w:fill="EBF5FB"/>
          </w:tcPr>
          <w:p>
            <w:pPr>
              <w:spacing w:before="40" w:after="40"/>
            </w:pPr>
            <w:r>
              <w:rPr>
                <w:sz w:val="17"/>
              </w:rPr>
              <w:t>100% of Standard active base</w:t>
            </w:r>
          </w:p>
        </w:tc>
        <w:tc>
          <w:tcPr>
            <w:tcW w:type="dxa" w:w="1560"/>
            <w:shd w:val="clear" w:color="auto" w:fill="EBF5FB"/>
          </w:tcPr>
          <w:p>
            <w:pPr>
              <w:spacing w:before="40" w:after="40"/>
            </w:pPr>
            <w:r>
              <w:rPr>
                <w:sz w:val="17"/>
              </w:rPr>
              <w:t>Permanent — usage-driven</w:t>
            </w:r>
          </w:p>
        </w:tc>
      </w:tr>
      <w:tr>
        <w:tc>
          <w:tcPr>
            <w:tcW w:type="dxa" w:w="1560"/>
            <w:shd w:val="clear" w:color="auto" w:fill="FDFEFE"/>
          </w:tcPr>
          <w:p>
            <w:pPr>
              <w:spacing w:before="40" w:after="40"/>
            </w:pPr>
            <w:r>
              <w:rPr>
                <w:sz w:val="17"/>
              </w:rPr>
              <w:t>Driver in-car referral</w:t>
            </w:r>
          </w:p>
        </w:tc>
        <w:tc>
          <w:tcPr>
            <w:tcW w:type="dxa" w:w="1560"/>
            <w:shd w:val="clear" w:color="auto" w:fill="FDFEFE"/>
          </w:tcPr>
          <w:p>
            <w:pPr>
              <w:spacing w:before="40" w:after="40"/>
            </w:pPr>
            <w:r>
              <w:rPr>
                <w:sz w:val="17"/>
              </w:rPr>
              <w:t>JD 2.37 (1 free ride)</w:t>
            </w:r>
          </w:p>
        </w:tc>
        <w:tc>
          <w:tcPr>
            <w:tcW w:type="dxa" w:w="1560"/>
            <w:shd w:val="clear" w:color="auto" w:fill="FDFEFE"/>
          </w:tcPr>
          <w:p>
            <w:pPr>
              <w:spacing w:before="40" w:after="40"/>
            </w:pPr>
            <w:r>
              <w:rPr>
                <w:sz w:val="17"/>
              </w:rPr>
              <w:t>3.5× (highest-trust channel)</w:t>
            </w:r>
          </w:p>
        </w:tc>
        <w:tc>
          <w:tcPr>
            <w:tcW w:type="dxa" w:w="1560"/>
            <w:shd w:val="clear" w:color="auto" w:fill="FDFEFE"/>
          </w:tcPr>
          <w:p>
            <w:pPr>
              <w:spacing w:before="40" w:after="40"/>
            </w:pPr>
            <w:r>
              <w:rPr>
                <w:sz w:val="17"/>
              </w:rPr>
              <w:t>JD 0.68</w:t>
            </w:r>
          </w:p>
        </w:tc>
        <w:tc>
          <w:tcPr>
            <w:tcW w:type="dxa" w:w="1560"/>
            <w:shd w:val="clear" w:color="auto" w:fill="FDFEFE"/>
          </w:tcPr>
          <w:p>
            <w:pPr>
              <w:spacing w:before="40" w:after="40"/>
            </w:pPr>
            <w:r>
              <w:rPr>
                <w:sz w:val="17"/>
              </w:rPr>
              <w:t>Scales with driver base</w:t>
            </w:r>
          </w:p>
        </w:tc>
        <w:tc>
          <w:tcPr>
            <w:tcW w:type="dxa" w:w="1560"/>
            <w:shd w:val="clear" w:color="auto" w:fill="FDFEFE"/>
          </w:tcPr>
          <w:p>
            <w:pPr>
              <w:spacing w:before="40" w:after="40"/>
            </w:pPr>
            <w:r>
              <w:rPr>
                <w:sz w:val="17"/>
              </w:rPr>
              <w:t>Permanent — tied to driver growth</w:t>
            </w:r>
          </w:p>
        </w:tc>
      </w:tr>
      <w:tr>
        <w:tc>
          <w:tcPr>
            <w:tcW w:type="dxa" w:w="1560"/>
            <w:shd w:val="clear" w:color="auto" w:fill="EBF5FB"/>
          </w:tcPr>
          <w:p>
            <w:pPr>
              <w:spacing w:before="40" w:after="40"/>
            </w:pPr>
            <w:r>
              <w:rPr>
                <w:sz w:val="17"/>
              </w:rPr>
              <w:t>Facebook targeted ads (waitlist lookalike)</w:t>
            </w:r>
          </w:p>
        </w:tc>
        <w:tc>
          <w:tcPr>
            <w:tcW w:type="dxa" w:w="1560"/>
            <w:shd w:val="clear" w:color="auto" w:fill="EBF5FB"/>
          </w:tcPr>
          <w:p>
            <w:pPr>
              <w:spacing w:before="40" w:after="40"/>
            </w:pPr>
            <w:r>
              <w:rPr>
                <w:sz w:val="17"/>
              </w:rPr>
              <w:t>JD 4.00 base</w:t>
            </w:r>
          </w:p>
        </w:tc>
        <w:tc>
          <w:tcPr>
            <w:tcW w:type="dxa" w:w="1560"/>
            <w:shd w:val="clear" w:color="auto" w:fill="EBF5FB"/>
          </w:tcPr>
          <w:p>
            <w:pPr>
              <w:spacing w:before="40" w:after="40"/>
            </w:pPr>
            <w:r>
              <w:rPr>
                <w:sz w:val="17"/>
              </w:rPr>
              <w:t>1.25× (paid, estimated)</w:t>
            </w:r>
          </w:p>
        </w:tc>
        <w:tc>
          <w:tcPr>
            <w:tcW w:type="dxa" w:w="1560"/>
            <w:shd w:val="clear" w:color="auto" w:fill="EBF5FB"/>
          </w:tcPr>
          <w:p>
            <w:pPr>
              <w:spacing w:before="40" w:after="40"/>
            </w:pPr>
            <w:r>
              <w:rPr>
                <w:sz w:val="17"/>
              </w:rPr>
              <w:t>JD 3.20</w:t>
            </w:r>
          </w:p>
        </w:tc>
        <w:tc>
          <w:tcPr>
            <w:tcW w:type="dxa" w:w="1560"/>
            <w:shd w:val="clear" w:color="auto" w:fill="EBF5FB"/>
          </w:tcPr>
          <w:p>
            <w:pPr>
              <w:spacing w:before="40" w:after="40"/>
            </w:pPr>
            <w:r>
              <w:rPr>
                <w:sz w:val="17"/>
              </w:rPr>
              <w:t>Budget-capped: JD 8K/mo max</w:t>
            </w:r>
          </w:p>
        </w:tc>
        <w:tc>
          <w:tcPr>
            <w:tcW w:type="dxa" w:w="1560"/>
            <w:shd w:val="clear" w:color="auto" w:fill="EBF5FB"/>
          </w:tcPr>
          <w:p>
            <w:pPr>
              <w:spacing w:before="40" w:after="40"/>
            </w:pPr>
            <w:r>
              <w:rPr>
                <w:sz w:val="17"/>
              </w:rPr>
              <w:t>Temporary — ad efficiency declines over time</w:t>
            </w:r>
          </w:p>
        </w:tc>
      </w:tr>
      <w:tr>
        <w:tc>
          <w:tcPr>
            <w:tcW w:type="dxa" w:w="1560"/>
            <w:shd w:val="clear" w:color="auto" w:fill="FDFEFE"/>
          </w:tcPr>
          <w:p>
            <w:pPr>
              <w:spacing w:before="40" w:after="40"/>
            </w:pPr>
            <w:r>
              <w:rPr>
                <w:sz w:val="17"/>
              </w:rPr>
              <w:t>University campus activation events</w:t>
            </w:r>
          </w:p>
        </w:tc>
        <w:tc>
          <w:tcPr>
            <w:tcW w:type="dxa" w:w="1560"/>
            <w:shd w:val="clear" w:color="auto" w:fill="FDFEFE"/>
          </w:tcPr>
          <w:p>
            <w:pPr>
              <w:spacing w:before="40" w:after="40"/>
            </w:pPr>
            <w:r>
              <w:rPr>
                <w:sz w:val="17"/>
              </w:rPr>
              <w:t>JD 1.50 (event cost/rider)</w:t>
            </w:r>
          </w:p>
        </w:tc>
        <w:tc>
          <w:tcPr>
            <w:tcW w:type="dxa" w:w="1560"/>
            <w:shd w:val="clear" w:color="auto" w:fill="FDFEFE"/>
          </w:tcPr>
          <w:p>
            <w:pPr>
              <w:spacing w:before="40" w:after="40"/>
            </w:pPr>
            <w:r>
              <w:rPr>
                <w:sz w:val="17"/>
              </w:rPr>
              <w:t>1.8× (peer trust)</w:t>
            </w:r>
          </w:p>
        </w:tc>
        <w:tc>
          <w:tcPr>
            <w:tcW w:type="dxa" w:w="1560"/>
            <w:shd w:val="clear" w:color="auto" w:fill="FDFEFE"/>
          </w:tcPr>
          <w:p>
            <w:pPr>
              <w:spacing w:before="40" w:after="40"/>
            </w:pPr>
            <w:r>
              <w:rPr>
                <w:sz w:val="17"/>
              </w:rPr>
              <w:t>JD 0.83</w:t>
            </w:r>
          </w:p>
        </w:tc>
        <w:tc>
          <w:tcPr>
            <w:tcW w:type="dxa" w:w="1560"/>
            <w:shd w:val="clear" w:color="auto" w:fill="FDFEFE"/>
          </w:tcPr>
          <w:p>
            <w:pPr>
              <w:spacing w:before="40" w:after="40"/>
            </w:pPr>
            <w:r>
              <w:rPr>
                <w:sz w:val="17"/>
              </w:rPr>
              <w:t>15 campuses × 350K students</w:t>
            </w:r>
          </w:p>
        </w:tc>
        <w:tc>
          <w:tcPr>
            <w:tcW w:type="dxa" w:w="1560"/>
            <w:shd w:val="clear" w:color="auto" w:fill="FDFEFE"/>
          </w:tcPr>
          <w:p>
            <w:pPr>
              <w:spacing w:before="40" w:after="40"/>
            </w:pPr>
            <w:r>
              <w:rPr>
                <w:sz w:val="17"/>
              </w:rPr>
              <w:t>High — seasonal (academic year)</w:t>
            </w:r>
          </w:p>
        </w:tc>
      </w:tr>
      <w:tr>
        <w:tc>
          <w:tcPr>
            <w:tcW w:type="dxa" w:w="1560"/>
            <w:shd w:val="clear" w:color="auto" w:fill="EBF5FB"/>
          </w:tcPr>
          <w:p>
            <w:pPr>
              <w:spacing w:before="40" w:after="40"/>
            </w:pPr>
            <w:r>
              <w:rPr>
                <w:sz w:val="17"/>
              </w:rPr>
              <w:t>WhatsApp organic (driver community spillover)</w:t>
            </w:r>
          </w:p>
        </w:tc>
        <w:tc>
          <w:tcPr>
            <w:tcW w:type="dxa" w:w="1560"/>
            <w:shd w:val="clear" w:color="auto" w:fill="EBF5FB"/>
          </w:tcPr>
          <w:p>
            <w:pPr>
              <w:spacing w:before="40" w:after="40"/>
            </w:pPr>
            <w:r>
              <w:rPr>
                <w:sz w:val="17"/>
              </w:rPr>
              <w:t>JD 0.20 (content cost)</w:t>
            </w:r>
          </w:p>
        </w:tc>
        <w:tc>
          <w:tcPr>
            <w:tcW w:type="dxa" w:w="1560"/>
            <w:shd w:val="clear" w:color="auto" w:fill="EBF5FB"/>
          </w:tcPr>
          <w:p>
            <w:pPr>
              <w:spacing w:before="40" w:after="40"/>
            </w:pPr>
            <w:r>
              <w:rPr>
                <w:sz w:val="17"/>
              </w:rPr>
              <w:t>2.0× (organic)</w:t>
            </w:r>
          </w:p>
        </w:tc>
        <w:tc>
          <w:tcPr>
            <w:tcW w:type="dxa" w:w="1560"/>
            <w:shd w:val="clear" w:color="auto" w:fill="EBF5FB"/>
          </w:tcPr>
          <w:p>
            <w:pPr>
              <w:spacing w:before="40" w:after="40"/>
            </w:pPr>
            <w:r>
              <w:rPr>
                <w:sz w:val="17"/>
              </w:rPr>
              <w:t>JD 0.10</w:t>
            </w:r>
          </w:p>
        </w:tc>
        <w:tc>
          <w:tcPr>
            <w:tcW w:type="dxa" w:w="1560"/>
            <w:shd w:val="clear" w:color="auto" w:fill="EBF5FB"/>
          </w:tcPr>
          <w:p>
            <w:pPr>
              <w:spacing w:before="40" w:after="40"/>
            </w:pPr>
            <w:r>
              <w:rPr>
                <w:sz w:val="17"/>
              </w:rPr>
              <w:t>Scales with driver community size</w:t>
            </w:r>
          </w:p>
        </w:tc>
        <w:tc>
          <w:tcPr>
            <w:tcW w:type="dxa" w:w="1560"/>
            <w:shd w:val="clear" w:color="auto" w:fill="EBF5FB"/>
          </w:tcPr>
          <w:p>
            <w:pPr>
              <w:spacing w:before="40" w:after="40"/>
            </w:pPr>
            <w:r>
              <w:rPr>
                <w:sz w:val="17"/>
              </w:rPr>
              <w:t>Permanent — community-driven</w:t>
            </w:r>
          </w:p>
        </w:tc>
      </w:tr>
      <w:tr>
        <w:tc>
          <w:tcPr>
            <w:tcW w:type="dxa" w:w="1560"/>
            <w:shd w:val="clear" w:color="auto" w:fill="FDFEFE"/>
          </w:tcPr>
          <w:p>
            <w:pPr>
              <w:spacing w:before="40" w:after="40"/>
            </w:pPr>
            <w:r>
              <w:rPr>
                <w:sz w:val="17"/>
              </w:rPr>
              <w:t>BLENDED EFFECTIVE RIDER CAC</w:t>
            </w:r>
          </w:p>
        </w:tc>
        <w:tc>
          <w:tcPr>
            <w:tcW w:type="dxa" w:w="1560"/>
            <w:shd w:val="clear" w:color="auto" w:fill="FDFEFE"/>
          </w:tcPr>
          <w:p>
            <w:pPr>
              <w:spacing w:before="40" w:after="40"/>
            </w:pPr>
            <w:r>
              <w:rPr>
                <w:sz w:val="17"/>
              </w:rPr>
              <w:t>—</w:t>
            </w:r>
          </w:p>
        </w:tc>
        <w:tc>
          <w:tcPr>
            <w:tcW w:type="dxa" w:w="1560"/>
            <w:shd w:val="clear" w:color="auto" w:fill="FDFEFE"/>
          </w:tcPr>
          <w:p>
            <w:pPr>
              <w:spacing w:before="40" w:after="40"/>
            </w:pPr>
            <w:r>
              <w:rPr>
                <w:sz w:val="17"/>
              </w:rPr>
              <w:t>—</w:t>
            </w:r>
          </w:p>
        </w:tc>
        <w:tc>
          <w:tcPr>
            <w:tcW w:type="dxa" w:w="1560"/>
            <w:shd w:val="clear" w:color="auto" w:fill="FDFEFE"/>
          </w:tcPr>
          <w:p>
            <w:pPr>
              <w:spacing w:before="40" w:after="40"/>
            </w:pPr>
            <w:r>
              <w:rPr>
                <w:sz w:val="17"/>
              </w:rPr>
              <w:t>JD 1.42 (revised vs. JD 1.83 base)</w:t>
            </w:r>
          </w:p>
        </w:tc>
        <w:tc>
          <w:tcPr>
            <w:tcW w:type="dxa" w:w="1560"/>
            <w:shd w:val="clear" w:color="auto" w:fill="FDFEFE"/>
          </w:tcPr>
          <w:p>
            <w:pPr>
              <w:spacing w:before="40" w:after="40"/>
            </w:pPr>
            <w:r>
              <w:rPr>
                <w:sz w:val="17"/>
              </w:rPr>
              <w:t>~45,000 riders Y1</w:t>
            </w:r>
          </w:p>
        </w:tc>
        <w:tc>
          <w:tcPr>
            <w:tcW w:type="dxa" w:w="1560"/>
            <w:shd w:val="clear" w:color="auto" w:fill="FDFEFE"/>
          </w:tcPr>
          <w:p>
            <w:pPr>
              <w:spacing w:before="40" w:after="40"/>
            </w:pPr>
            <w:r>
              <w:rPr>
                <w:sz w:val="17"/>
              </w:rPr>
              <w:t>Structural, not boycott-dependent</w:t>
            </w:r>
          </w:p>
        </w:tc>
      </w:tr>
    </w:tbl>
    <w:p/>
    <w:tbl>
      <w:tblPr>
        <w:tblW w:type="auto" w:w="0"/>
        <w:tblLook w:firstColumn="1" w:firstRow="1" w:lastColumn="0" w:lastRow="0" w:noHBand="0" w:noVBand="1" w:val="04A0"/>
      </w:tblPr>
      <w:tblGrid>
        <w:gridCol w:w="9360"/>
      </w:tblGrid>
      <w:tr>
        <w:tc>
          <w:tcPr>
            <w:tcW w:type="dxa" w:w="9360"/>
            <w:shd w:val="clear" w:color="auto" w:fill="FEF9E7"/>
          </w:tcPr>
          <w:p>
            <w:pPr>
              <w:spacing w:before="120" w:after="40"/>
              <w:ind w:left="200" w:right="200"/>
            </w:pPr>
            <w:r>
              <w:rPr>
                <w:b/>
                <w:color w:val="0D1B2A"/>
                <w:sz w:val="20"/>
              </w:rPr>
              <w:t>Financial Model Update Required — Rider Economics Sheet</w:t>
            </w:r>
          </w:p>
          <w:p>
            <w:pPr>
              <w:spacing w:before="40" w:after="40"/>
              <w:ind w:left="200" w:right="200"/>
            </w:pPr>
            <w:r>
              <w:rPr>
                <w:b w:val="0"/>
                <w:color w:val="0D1B2A"/>
                <w:sz w:val="20"/>
              </w:rPr>
              <w:t>Cell: 'Cost per Rider Acquired — Effective (JOD)'</w:t>
            </w:r>
          </w:p>
          <w:p>
            <w:pPr>
              <w:spacing w:before="40" w:after="40"/>
              <w:ind w:left="200" w:right="200"/>
            </w:pPr>
            <w:r>
              <w:rPr>
                <w:b w:val="0"/>
                <w:color w:val="0D1B2A"/>
                <w:sz w:val="20"/>
              </w:rPr>
              <w:t>Current: JD 1.83 (M4–M6 blended, with boycott multiplier)</w:t>
            </w:r>
          </w:p>
          <w:p>
            <w:pPr>
              <w:spacing w:before="40" w:after="40"/>
              <w:ind w:left="200" w:right="200"/>
            </w:pPr>
            <w:r>
              <w:rPr>
                <w:b w:val="0"/>
                <w:color w:val="0D1B2A"/>
                <w:sz w:val="20"/>
              </w:rPr>
              <w:t>Revised: JD 1.42 (structural channel mix, no boycott dependency)</w:t>
            </w:r>
          </w:p>
          <w:p>
            <w:pPr>
              <w:spacing w:before="40" w:after="120"/>
              <w:ind w:left="200" w:right="200"/>
            </w:pPr>
            <w:r>
              <w:rPr>
                <w:b w:val="0"/>
                <w:color w:val="0D1B2A"/>
                <w:sz w:val="20"/>
              </w:rPr>
              <w:t>Impact: Year 1 rider marketing spend reduced by ~JD 18,500. Year 1 rider count increases by ~3,200 riders at same budget.</w:t>
            </w:r>
          </w:p>
        </w:tc>
      </w:tr>
    </w:tbl>
    <w:p/>
    <w:p>
      <w:pPr>
        <w:spacing w:before="320" w:after="80"/>
      </w:pPr>
      <w:r>
        <w:rPr>
          <w:b/>
          <w:color w:val="C99A06"/>
          <w:sz w:val="28"/>
        </w:rPr>
        <w:t>5.2  Rider LTV — Revised Projections</w:t>
      </w:r>
    </w:p>
    <w:p>
      <w:pPr>
        <w:spacing w:before="40" w:after="100"/>
      </w:pPr>
      <w:r>
        <w:rPr>
          <w:b w:val="0"/>
          <w:i w:val="0"/>
          <w:color w:val="3D3D3D"/>
          <w:sz w:val="21"/>
        </w:rPr>
        <w:t>LTV model is rebuilt around subscription tier progression, not just ride frequency. The revised model captures the full economic value of a rider's lifecycle including tier upgrades.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0D1B2A"/>
          </w:tcPr>
          <w:p>
            <w:pPr>
              <w:jc w:val="center"/>
            </w:pPr>
            <w:r>
              <w:rPr>
                <w:b/>
                <w:color w:val="FFFFFF"/>
                <w:sz w:val="19"/>
              </w:rPr>
              <w:t>Rider Cohort</w:t>
            </w:r>
          </w:p>
        </w:tc>
        <w:tc>
          <w:tcPr>
            <w:tcW w:type="dxa" w:w="1560"/>
            <w:shd w:val="clear" w:color="auto" w:fill="0D1B2A"/>
          </w:tcPr>
          <w:p>
            <w:pPr>
              <w:jc w:val="center"/>
            </w:pPr>
            <w:r>
              <w:rPr>
                <w:b/>
                <w:color w:val="FFFFFF"/>
                <w:sz w:val="19"/>
              </w:rPr>
              <w:t>Avg Monthly ARPU (JOD)</w:t>
            </w:r>
          </w:p>
        </w:tc>
        <w:tc>
          <w:tcPr>
            <w:tcW w:type="dxa" w:w="1560"/>
            <w:shd w:val="clear" w:color="auto" w:fill="0D1B2A"/>
          </w:tcPr>
          <w:p>
            <w:pPr>
              <w:jc w:val="center"/>
            </w:pPr>
            <w:r>
              <w:rPr>
                <w:b/>
                <w:color w:val="FFFFFF"/>
                <w:sz w:val="19"/>
              </w:rPr>
              <w:t>Avg Lifespan (Mo)</w:t>
            </w:r>
          </w:p>
        </w:tc>
        <w:tc>
          <w:tcPr>
            <w:tcW w:type="dxa" w:w="1560"/>
            <w:shd w:val="clear" w:color="auto" w:fill="0D1B2A"/>
          </w:tcPr>
          <w:p>
            <w:pPr>
              <w:jc w:val="center"/>
            </w:pPr>
            <w:r>
              <w:rPr>
                <w:b/>
                <w:color w:val="FFFFFF"/>
                <w:sz w:val="19"/>
              </w:rPr>
              <w:t>Churn Rate/Mo</w:t>
            </w:r>
          </w:p>
        </w:tc>
        <w:tc>
          <w:tcPr>
            <w:tcW w:type="dxa" w:w="1560"/>
            <w:shd w:val="clear" w:color="auto" w:fill="0D1B2A"/>
          </w:tcPr>
          <w:p>
            <w:pPr>
              <w:jc w:val="center"/>
            </w:pPr>
            <w:r>
              <w:rPr>
                <w:b/>
                <w:color w:val="FFFFFF"/>
                <w:sz w:val="19"/>
              </w:rPr>
              <w:t>LTV (JOD)</w:t>
            </w:r>
          </w:p>
        </w:tc>
        <w:tc>
          <w:tcPr>
            <w:tcW w:type="dxa" w:w="1560"/>
            <w:shd w:val="clear" w:color="auto" w:fill="0D1B2A"/>
          </w:tcPr>
          <w:p>
            <w:pPr>
              <w:jc w:val="center"/>
            </w:pPr>
            <w:r>
              <w:rPr>
                <w:b/>
                <w:color w:val="FFFFFF"/>
                <w:sz w:val="19"/>
              </w:rPr>
              <w:t>LTV/CAC Ratio</w:t>
            </w:r>
          </w:p>
        </w:tc>
      </w:tr>
      <w:tr>
        <w:tc>
          <w:tcPr>
            <w:tcW w:type="dxa" w:w="1560"/>
            <w:shd w:val="clear" w:color="auto" w:fill="EBF5FB"/>
          </w:tcPr>
          <w:p>
            <w:pPr>
              <w:spacing w:before="40" w:after="40"/>
            </w:pPr>
            <w:r>
              <w:rPr>
                <w:sz w:val="18"/>
              </w:rPr>
              <w:t>Standard (Free) rider</w:t>
            </w:r>
          </w:p>
        </w:tc>
        <w:tc>
          <w:tcPr>
            <w:tcW w:type="dxa" w:w="1560"/>
            <w:shd w:val="clear" w:color="auto" w:fill="EBF5FB"/>
          </w:tcPr>
          <w:p>
            <w:pPr>
              <w:spacing w:before="40" w:after="40"/>
            </w:pPr>
            <w:r>
              <w:rPr>
                <w:sz w:val="18"/>
              </w:rPr>
              <w:t>JD 0</w:t>
            </w:r>
          </w:p>
        </w:tc>
        <w:tc>
          <w:tcPr>
            <w:tcW w:type="dxa" w:w="1560"/>
            <w:shd w:val="clear" w:color="auto" w:fill="EBF5FB"/>
          </w:tcPr>
          <w:p>
            <w:pPr>
              <w:spacing w:before="40" w:after="40"/>
            </w:pPr>
            <w:r>
              <w:rPr>
                <w:sz w:val="18"/>
              </w:rPr>
              <w:t>4.2</w:t>
            </w:r>
          </w:p>
        </w:tc>
        <w:tc>
          <w:tcPr>
            <w:tcW w:type="dxa" w:w="1560"/>
            <w:shd w:val="clear" w:color="auto" w:fill="EBF5FB"/>
          </w:tcPr>
          <w:p>
            <w:pPr>
              <w:spacing w:before="40" w:after="40"/>
            </w:pPr>
            <w:r>
              <w:rPr>
                <w:sz w:val="18"/>
              </w:rPr>
              <w:t>18% (no switching cost)</w:t>
            </w:r>
          </w:p>
        </w:tc>
        <w:tc>
          <w:tcPr>
            <w:tcW w:type="dxa" w:w="1560"/>
            <w:shd w:val="clear" w:color="auto" w:fill="EBF5FB"/>
          </w:tcPr>
          <w:p>
            <w:pPr>
              <w:spacing w:before="40" w:after="40"/>
            </w:pPr>
            <w:r>
              <w:rPr>
                <w:sz w:val="18"/>
              </w:rPr>
              <w:t>JD 0 (platform value = supply validation only)</w:t>
            </w:r>
          </w:p>
        </w:tc>
        <w:tc>
          <w:tcPr>
            <w:tcW w:type="dxa" w:w="1560"/>
            <w:shd w:val="clear" w:color="auto" w:fill="EBF5FB"/>
          </w:tcPr>
          <w:p>
            <w:pPr>
              <w:spacing w:before="40" w:after="40"/>
            </w:pPr>
            <w:r>
              <w:rPr>
                <w:sz w:val="18"/>
              </w:rPr>
              <w:t>N/A (acquisition cost: JD 0.80)</w:t>
            </w:r>
          </w:p>
        </w:tc>
      </w:tr>
      <w:tr>
        <w:tc>
          <w:tcPr>
            <w:tcW w:type="dxa" w:w="1560"/>
            <w:shd w:val="clear" w:color="auto" w:fill="FDFEFE"/>
          </w:tcPr>
          <w:p>
            <w:pPr>
              <w:spacing w:before="40" w:after="40"/>
            </w:pPr>
            <w:r>
              <w:rPr>
                <w:sz w:val="18"/>
              </w:rPr>
              <w:t>Wasel Go subscriber</w:t>
            </w:r>
          </w:p>
        </w:tc>
        <w:tc>
          <w:tcPr>
            <w:tcW w:type="dxa" w:w="1560"/>
            <w:shd w:val="clear" w:color="auto" w:fill="FDFEFE"/>
          </w:tcPr>
          <w:p>
            <w:pPr>
              <w:spacing w:before="40" w:after="40"/>
            </w:pPr>
            <w:r>
              <w:rPr>
                <w:sz w:val="18"/>
              </w:rPr>
              <w:t>JD 4.99</w:t>
            </w:r>
          </w:p>
        </w:tc>
        <w:tc>
          <w:tcPr>
            <w:tcW w:type="dxa" w:w="1560"/>
            <w:shd w:val="clear" w:color="auto" w:fill="FDFEFE"/>
          </w:tcPr>
          <w:p>
            <w:pPr>
              <w:spacing w:before="40" w:after="40"/>
            </w:pPr>
            <w:r>
              <w:rPr>
                <w:sz w:val="18"/>
              </w:rPr>
              <w:t>11.5</w:t>
            </w:r>
          </w:p>
        </w:tc>
        <w:tc>
          <w:tcPr>
            <w:tcW w:type="dxa" w:w="1560"/>
            <w:shd w:val="clear" w:color="auto" w:fill="FDFEFE"/>
          </w:tcPr>
          <w:p>
            <w:pPr>
              <w:spacing w:before="40" w:after="40"/>
            </w:pPr>
            <w:r>
              <w:rPr>
                <w:sz w:val="18"/>
              </w:rPr>
              <w:t>7% (subscription + habit)</w:t>
            </w:r>
          </w:p>
        </w:tc>
        <w:tc>
          <w:tcPr>
            <w:tcW w:type="dxa" w:w="1560"/>
            <w:shd w:val="clear" w:color="auto" w:fill="FDFEFE"/>
          </w:tcPr>
          <w:p>
            <w:pPr>
              <w:spacing w:before="40" w:after="40"/>
            </w:pPr>
            <w:r>
              <w:rPr>
                <w:sz w:val="18"/>
              </w:rPr>
              <w:t>JD 57.38</w:t>
            </w:r>
          </w:p>
        </w:tc>
        <w:tc>
          <w:tcPr>
            <w:tcW w:type="dxa" w:w="1560"/>
            <w:shd w:val="clear" w:color="auto" w:fill="FDFEFE"/>
          </w:tcPr>
          <w:p>
            <w:pPr>
              <w:spacing w:before="40" w:after="40"/>
            </w:pPr>
            <w:r>
              <w:rPr>
                <w:sz w:val="18"/>
              </w:rPr>
              <w:t>40.4× (vs. JD 1.42 CAC)</w:t>
            </w:r>
          </w:p>
        </w:tc>
      </w:tr>
      <w:tr>
        <w:tc>
          <w:tcPr>
            <w:tcW w:type="dxa" w:w="1560"/>
            <w:shd w:val="clear" w:color="auto" w:fill="EBF5FB"/>
          </w:tcPr>
          <w:p>
            <w:pPr>
              <w:spacing w:before="40" w:after="40"/>
            </w:pPr>
            <w:r>
              <w:rPr>
                <w:sz w:val="18"/>
              </w:rPr>
              <w:t>Wasel Pass subscriber</w:t>
            </w:r>
          </w:p>
        </w:tc>
        <w:tc>
          <w:tcPr>
            <w:tcW w:type="dxa" w:w="1560"/>
            <w:shd w:val="clear" w:color="auto" w:fill="EBF5FB"/>
          </w:tcPr>
          <w:p>
            <w:pPr>
              <w:spacing w:before="40" w:after="40"/>
            </w:pPr>
            <w:r>
              <w:rPr>
                <w:sz w:val="18"/>
              </w:rPr>
              <w:t>JD 9.99</w:t>
            </w:r>
          </w:p>
        </w:tc>
        <w:tc>
          <w:tcPr>
            <w:tcW w:type="dxa" w:w="1560"/>
            <w:shd w:val="clear" w:color="auto" w:fill="EBF5FB"/>
          </w:tcPr>
          <w:p>
            <w:pPr>
              <w:spacing w:before="40" w:after="40"/>
            </w:pPr>
            <w:r>
              <w:rPr>
                <w:sz w:val="18"/>
              </w:rPr>
              <w:t>18.2</w:t>
            </w:r>
          </w:p>
        </w:tc>
        <w:tc>
          <w:tcPr>
            <w:tcW w:type="dxa" w:w="1560"/>
            <w:shd w:val="clear" w:color="auto" w:fill="EBF5FB"/>
          </w:tcPr>
          <w:p>
            <w:pPr>
              <w:spacing w:before="40" w:after="40"/>
            </w:pPr>
            <w:r>
              <w:rPr>
                <w:sz w:val="18"/>
              </w:rPr>
              <w:t>4% (strong switching cost)</w:t>
            </w:r>
          </w:p>
        </w:tc>
        <w:tc>
          <w:tcPr>
            <w:tcW w:type="dxa" w:w="1560"/>
            <w:shd w:val="clear" w:color="auto" w:fill="EBF5FB"/>
          </w:tcPr>
          <w:p>
            <w:pPr>
              <w:spacing w:before="40" w:after="40"/>
            </w:pPr>
            <w:r>
              <w:rPr>
                <w:sz w:val="18"/>
              </w:rPr>
              <w:t>JD 181.82</w:t>
            </w:r>
          </w:p>
        </w:tc>
        <w:tc>
          <w:tcPr>
            <w:tcW w:type="dxa" w:w="1560"/>
            <w:shd w:val="clear" w:color="auto" w:fill="EBF5FB"/>
          </w:tcPr>
          <w:p>
            <w:pPr>
              <w:spacing w:before="40" w:after="40"/>
            </w:pPr>
            <w:r>
              <w:rPr>
                <w:sz w:val="18"/>
              </w:rPr>
              <w:t>128× (vs. JD 1.42 CAC)</w:t>
            </w:r>
          </w:p>
        </w:tc>
      </w:tr>
      <w:tr>
        <w:tc>
          <w:tcPr>
            <w:tcW w:type="dxa" w:w="1560"/>
            <w:shd w:val="clear" w:color="auto" w:fill="FDFEFE"/>
          </w:tcPr>
          <w:p>
            <w:pPr>
              <w:spacing w:before="40" w:after="40"/>
            </w:pPr>
            <w:r>
              <w:rPr>
                <w:sz w:val="18"/>
              </w:rPr>
              <w:t>Wasel VIP subscriber</w:t>
            </w:r>
          </w:p>
        </w:tc>
        <w:tc>
          <w:tcPr>
            <w:tcW w:type="dxa" w:w="1560"/>
            <w:shd w:val="clear" w:color="auto" w:fill="FDFEFE"/>
          </w:tcPr>
          <w:p>
            <w:pPr>
              <w:spacing w:before="40" w:after="40"/>
            </w:pPr>
            <w:r>
              <w:rPr>
                <w:sz w:val="18"/>
              </w:rPr>
              <w:t>JD 19.99</w:t>
            </w:r>
          </w:p>
        </w:tc>
        <w:tc>
          <w:tcPr>
            <w:tcW w:type="dxa" w:w="1560"/>
            <w:shd w:val="clear" w:color="auto" w:fill="FDFEFE"/>
          </w:tcPr>
          <w:p>
            <w:pPr>
              <w:spacing w:before="40" w:after="40"/>
            </w:pPr>
            <w:r>
              <w:rPr>
                <w:sz w:val="18"/>
              </w:rPr>
              <w:t>28+</w:t>
            </w:r>
          </w:p>
        </w:tc>
        <w:tc>
          <w:tcPr>
            <w:tcW w:type="dxa" w:w="1560"/>
            <w:shd w:val="clear" w:color="auto" w:fill="FDFEFE"/>
          </w:tcPr>
          <w:p>
            <w:pPr>
              <w:spacing w:before="40" w:after="40"/>
            </w:pPr>
            <w:r>
              <w:rPr>
                <w:sz w:val="18"/>
              </w:rPr>
              <w:t>2% (identity-based retention)</w:t>
            </w:r>
          </w:p>
        </w:tc>
        <w:tc>
          <w:tcPr>
            <w:tcW w:type="dxa" w:w="1560"/>
            <w:shd w:val="clear" w:color="auto" w:fill="FDFEFE"/>
          </w:tcPr>
          <w:p>
            <w:pPr>
              <w:spacing w:before="40" w:after="40"/>
            </w:pPr>
            <w:r>
              <w:rPr>
                <w:sz w:val="18"/>
              </w:rPr>
              <w:t>JD 559.72</w:t>
            </w:r>
          </w:p>
        </w:tc>
        <w:tc>
          <w:tcPr>
            <w:tcW w:type="dxa" w:w="1560"/>
            <w:shd w:val="clear" w:color="auto" w:fill="FDFEFE"/>
          </w:tcPr>
          <w:p>
            <w:pPr>
              <w:spacing w:before="40" w:after="40"/>
            </w:pPr>
            <w:r>
              <w:rPr>
                <w:sz w:val="18"/>
              </w:rPr>
              <w:t>394× (vs. JD 1.42 CAC)</w:t>
            </w:r>
          </w:p>
        </w:tc>
      </w:tr>
      <w:tr>
        <w:tc>
          <w:tcPr>
            <w:tcW w:type="dxa" w:w="1560"/>
            <w:shd w:val="clear" w:color="auto" w:fill="EBF5FB"/>
          </w:tcPr>
          <w:p>
            <w:pPr>
              <w:spacing w:before="40" w:after="40"/>
            </w:pPr>
            <w:r>
              <w:rPr>
                <w:sz w:val="18"/>
              </w:rPr>
              <w:t>Corporate account (per seat)</w:t>
            </w:r>
          </w:p>
        </w:tc>
        <w:tc>
          <w:tcPr>
            <w:tcW w:type="dxa" w:w="1560"/>
            <w:shd w:val="clear" w:color="auto" w:fill="EBF5FB"/>
          </w:tcPr>
          <w:p>
            <w:pPr>
              <w:spacing w:before="40" w:after="40"/>
            </w:pPr>
            <w:r>
              <w:rPr>
                <w:sz w:val="18"/>
              </w:rPr>
              <w:t>JD 14.50 (blended)</w:t>
            </w:r>
          </w:p>
        </w:tc>
        <w:tc>
          <w:tcPr>
            <w:tcW w:type="dxa" w:w="1560"/>
            <w:shd w:val="clear" w:color="auto" w:fill="EBF5FB"/>
          </w:tcPr>
          <w:p>
            <w:pPr>
              <w:spacing w:before="40" w:after="40"/>
            </w:pPr>
            <w:r>
              <w:rPr>
                <w:sz w:val="18"/>
              </w:rPr>
              <w:t>24+</w:t>
            </w:r>
          </w:p>
        </w:tc>
        <w:tc>
          <w:tcPr>
            <w:tcW w:type="dxa" w:w="1560"/>
            <w:shd w:val="clear" w:color="auto" w:fill="EBF5FB"/>
          </w:tcPr>
          <w:p>
            <w:pPr>
              <w:spacing w:before="40" w:after="40"/>
            </w:pPr>
            <w:r>
              <w:rPr>
                <w:sz w:val="18"/>
              </w:rPr>
              <w:t>3% (institutional lock-in)</w:t>
            </w:r>
          </w:p>
        </w:tc>
        <w:tc>
          <w:tcPr>
            <w:tcW w:type="dxa" w:w="1560"/>
            <w:shd w:val="clear" w:color="auto" w:fill="EBF5FB"/>
          </w:tcPr>
          <w:p>
            <w:pPr>
              <w:spacing w:before="40" w:after="40"/>
            </w:pPr>
            <w:r>
              <w:rPr>
                <w:sz w:val="18"/>
              </w:rPr>
              <w:t>JD 348.00</w:t>
            </w:r>
          </w:p>
        </w:tc>
        <w:tc>
          <w:tcPr>
            <w:tcW w:type="dxa" w:w="1560"/>
            <w:shd w:val="clear" w:color="auto" w:fill="EBF5FB"/>
          </w:tcPr>
          <w:p>
            <w:pPr>
              <w:spacing w:before="40" w:after="40"/>
            </w:pPr>
            <w:r>
              <w:rPr>
                <w:sz w:val="18"/>
              </w:rPr>
              <w:t>245× (vs. JD 2.00 B2B CAC)</w:t>
            </w:r>
          </w:p>
        </w:tc>
      </w:tr>
      <w:tr>
        <w:tc>
          <w:tcPr>
            <w:tcW w:type="dxa" w:w="1560"/>
            <w:shd w:val="clear" w:color="auto" w:fill="FDFEFE"/>
          </w:tcPr>
          <w:p>
            <w:pPr>
              <w:spacing w:before="40" w:after="40"/>
            </w:pPr>
            <w:r>
              <w:rPr>
                <w:sz w:val="18"/>
              </w:rPr>
              <w:t>BLENDED (10%/5%/1%/5% mix)</w:t>
            </w:r>
          </w:p>
        </w:tc>
        <w:tc>
          <w:tcPr>
            <w:tcW w:type="dxa" w:w="1560"/>
            <w:shd w:val="clear" w:color="auto" w:fill="FDFEFE"/>
          </w:tcPr>
          <w:p>
            <w:pPr>
              <w:spacing w:before="40" w:after="40"/>
            </w:pPr>
            <w:r>
              <w:rPr>
                <w:sz w:val="18"/>
              </w:rPr>
              <w:t>JD 6.80</w:t>
            </w:r>
          </w:p>
        </w:tc>
        <w:tc>
          <w:tcPr>
            <w:tcW w:type="dxa" w:w="1560"/>
            <w:shd w:val="clear" w:color="auto" w:fill="FDFEFE"/>
          </w:tcPr>
          <w:p>
            <w:pPr>
              <w:spacing w:before="40" w:after="40"/>
            </w:pPr>
            <w:r>
              <w:rPr>
                <w:sz w:val="18"/>
              </w:rPr>
              <w:t>14.1</w:t>
            </w:r>
          </w:p>
        </w:tc>
        <w:tc>
          <w:tcPr>
            <w:tcW w:type="dxa" w:w="1560"/>
            <w:shd w:val="clear" w:color="auto" w:fill="FDFEFE"/>
          </w:tcPr>
          <w:p>
            <w:pPr>
              <w:spacing w:before="40" w:after="40"/>
            </w:pPr>
            <w:r>
              <w:rPr>
                <w:sz w:val="18"/>
              </w:rPr>
              <w:t>6.5% blended</w:t>
            </w:r>
          </w:p>
        </w:tc>
        <w:tc>
          <w:tcPr>
            <w:tcW w:type="dxa" w:w="1560"/>
            <w:shd w:val="clear" w:color="auto" w:fill="FDFEFE"/>
          </w:tcPr>
          <w:p>
            <w:pPr>
              <w:spacing w:before="40" w:after="40"/>
            </w:pPr>
            <w:r>
              <w:rPr>
                <w:sz w:val="18"/>
              </w:rPr>
              <w:t>JD 95.88</w:t>
            </w:r>
          </w:p>
        </w:tc>
        <w:tc>
          <w:tcPr>
            <w:tcW w:type="dxa" w:w="1560"/>
            <w:shd w:val="clear" w:color="auto" w:fill="FDFEFE"/>
          </w:tcPr>
          <w:p>
            <w:pPr>
              <w:spacing w:before="40" w:after="40"/>
            </w:pPr>
            <w:r>
              <w:rPr>
                <w:sz w:val="18"/>
              </w:rPr>
              <w:t>67.5×</w:t>
            </w:r>
          </w:p>
        </w:tc>
      </w:tr>
    </w:tbl>
    <w:p/>
    <w:p>
      <w:pPr>
        <w:spacing w:before="320" w:after="80"/>
      </w:pPr>
      <w:r>
        <w:rPr>
          <w:b/>
          <w:color w:val="C99A06"/>
          <w:sz w:val="28"/>
        </w:rPr>
        <w:t>5.3  Surge Removal / Cap Sensitivity Analysis</w:t>
      </w:r>
    </w:p>
    <w:p>
      <w:pPr>
        <w:spacing w:before="40" w:after="100"/>
      </w:pPr>
      <w:r>
        <w:rPr>
          <w:b w:val="0"/>
          <w:i w:val="0"/>
          <w:color w:val="3D3D3D"/>
          <w:sz w:val="21"/>
        </w:rPr>
        <w:t>The core question: what is the revenue cost of removing surge, and what is the LTV benefit of the trust gained? The answer depends on the rider segment and their current relationship with pricing volatility.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C9950A"/>
          </w:tcPr>
          <w:p>
            <w:pPr>
              <w:jc w:val="center"/>
            </w:pPr>
            <w:r>
              <w:rPr>
                <w:b/>
                <w:color w:val="FFFFFF"/>
                <w:sz w:val="19"/>
              </w:rPr>
              <w:t>Scenario</w:t>
            </w:r>
          </w:p>
        </w:tc>
        <w:tc>
          <w:tcPr>
            <w:tcW w:type="dxa" w:w="1560"/>
            <w:shd w:val="clear" w:color="auto" w:fill="C9950A"/>
          </w:tcPr>
          <w:p>
            <w:pPr>
              <w:jc w:val="center"/>
            </w:pPr>
            <w:r>
              <w:rPr>
                <w:b/>
                <w:color w:val="FFFFFF"/>
                <w:sz w:val="19"/>
              </w:rPr>
              <w:t>Revenue Impact / Mo</w:t>
            </w:r>
          </w:p>
        </w:tc>
        <w:tc>
          <w:tcPr>
            <w:tcW w:type="dxa" w:w="1560"/>
            <w:shd w:val="clear" w:color="auto" w:fill="C9950A"/>
          </w:tcPr>
          <w:p>
            <w:pPr>
              <w:jc w:val="center"/>
            </w:pPr>
            <w:r>
              <w:rPr>
                <w:b/>
                <w:color w:val="FFFFFF"/>
                <w:sz w:val="19"/>
              </w:rPr>
              <w:t>Rider Conversion Impact</w:t>
            </w:r>
          </w:p>
        </w:tc>
        <w:tc>
          <w:tcPr>
            <w:tcW w:type="dxa" w:w="1560"/>
            <w:shd w:val="clear" w:color="auto" w:fill="C9950A"/>
          </w:tcPr>
          <w:p>
            <w:pPr>
              <w:jc w:val="center"/>
            </w:pPr>
            <w:r>
              <w:rPr>
                <w:b/>
                <w:color w:val="FFFFFF"/>
                <w:sz w:val="19"/>
              </w:rPr>
              <w:t>Churn Impact</w:t>
            </w:r>
          </w:p>
        </w:tc>
        <w:tc>
          <w:tcPr>
            <w:tcW w:type="dxa" w:w="1560"/>
            <w:shd w:val="clear" w:color="auto" w:fill="C9950A"/>
          </w:tcPr>
          <w:p>
            <w:pPr>
              <w:jc w:val="center"/>
            </w:pPr>
            <w:r>
              <w:rPr>
                <w:b/>
                <w:color w:val="FFFFFF"/>
                <w:sz w:val="19"/>
              </w:rPr>
              <w:t>Net LTV Change</w:t>
            </w:r>
          </w:p>
        </w:tc>
        <w:tc>
          <w:tcPr>
            <w:tcW w:type="dxa" w:w="1560"/>
            <w:shd w:val="clear" w:color="auto" w:fill="C9950A"/>
          </w:tcPr>
          <w:p>
            <w:pPr>
              <w:jc w:val="center"/>
            </w:pPr>
            <w:r>
              <w:rPr>
                <w:b/>
                <w:color w:val="FFFFFF"/>
                <w:sz w:val="19"/>
              </w:rPr>
              <w:t>Recommendation</w:t>
            </w:r>
          </w:p>
        </w:tc>
      </w:tr>
      <w:tr>
        <w:tc>
          <w:tcPr>
            <w:tcW w:type="dxa" w:w="1560"/>
            <w:shd w:val="clear" w:color="auto" w:fill="EBF5FB"/>
          </w:tcPr>
          <w:p>
            <w:pPr>
              <w:spacing w:before="40" w:after="40"/>
            </w:pPr>
            <w:r>
              <w:rPr>
                <w:sz w:val="17"/>
              </w:rPr>
              <w:t>Full surge removal (Standard tier)</w:t>
            </w:r>
          </w:p>
        </w:tc>
        <w:tc>
          <w:tcPr>
            <w:tcW w:type="dxa" w:w="1560"/>
            <w:shd w:val="clear" w:color="auto" w:fill="EBF5FB"/>
          </w:tcPr>
          <w:p>
            <w:pPr>
              <w:spacing w:before="40" w:after="40"/>
            </w:pPr>
            <w:r>
              <w:rPr>
                <w:sz w:val="17"/>
              </w:rPr>
              <w:t>JD 0 direct impact (Wasel earns flat sub, not ride %)</w:t>
            </w:r>
          </w:p>
        </w:tc>
        <w:tc>
          <w:tcPr>
            <w:tcW w:type="dxa" w:w="1560"/>
            <w:shd w:val="clear" w:color="auto" w:fill="EBF5FB"/>
          </w:tcPr>
          <w:p>
            <w:pPr>
              <w:spacing w:before="40" w:after="40"/>
            </w:pPr>
            <w:r>
              <w:rPr>
                <w:sz w:val="17"/>
              </w:rPr>
              <w:t>+15% conversion rate for price-sensitive segment</w:t>
            </w:r>
          </w:p>
        </w:tc>
        <w:tc>
          <w:tcPr>
            <w:tcW w:type="dxa" w:w="1560"/>
            <w:shd w:val="clear" w:color="auto" w:fill="EBF5FB"/>
          </w:tcPr>
          <w:p>
            <w:pPr>
              <w:spacing w:before="40" w:after="40"/>
            </w:pPr>
            <w:r>
              <w:rPr>
                <w:sz w:val="17"/>
              </w:rPr>
              <w:t>−8% monthly churn in M3–M6</w:t>
            </w:r>
          </w:p>
        </w:tc>
        <w:tc>
          <w:tcPr>
            <w:tcW w:type="dxa" w:w="1560"/>
            <w:shd w:val="clear" w:color="auto" w:fill="EBF5FB"/>
          </w:tcPr>
          <w:p>
            <w:pPr>
              <w:spacing w:before="40" w:after="40"/>
            </w:pPr>
            <w:r>
              <w:rPr>
                <w:sz w:val="17"/>
              </w:rPr>
              <w:t>+JD 22,000 additional Y1 LTV</w:t>
            </w:r>
          </w:p>
        </w:tc>
        <w:tc>
          <w:tcPr>
            <w:tcW w:type="dxa" w:w="1560"/>
            <w:shd w:val="clear" w:color="auto" w:fill="EBF5FB"/>
          </w:tcPr>
          <w:p>
            <w:pPr>
              <w:spacing w:before="40" w:after="40"/>
            </w:pPr>
            <w:r>
              <w:rPr>
                <w:sz w:val="17"/>
              </w:rPr>
              <w:t>IMPLEMENT — net positive</w:t>
            </w:r>
          </w:p>
        </w:tc>
      </w:tr>
      <w:tr>
        <w:tc>
          <w:tcPr>
            <w:tcW w:type="dxa" w:w="1560"/>
            <w:shd w:val="clear" w:color="auto" w:fill="FDFEFE"/>
          </w:tcPr>
          <w:p>
            <w:pPr>
              <w:spacing w:before="40" w:after="40"/>
            </w:pPr>
            <w:r>
              <w:rPr>
                <w:sz w:val="17"/>
              </w:rPr>
              <w:t>Surge cap at JD 0.50 above base (Go tier)</w:t>
            </w:r>
          </w:p>
        </w:tc>
        <w:tc>
          <w:tcPr>
            <w:tcW w:type="dxa" w:w="1560"/>
            <w:shd w:val="clear" w:color="auto" w:fill="FDFEFE"/>
          </w:tcPr>
          <w:p>
            <w:pPr>
              <w:spacing w:before="40" w:after="40"/>
            </w:pPr>
            <w:r>
              <w:rPr>
                <w:sz w:val="17"/>
              </w:rPr>
              <w:t>Negligible — Wasel earns JD 4.99/mo regardless</w:t>
            </w:r>
          </w:p>
        </w:tc>
        <w:tc>
          <w:tcPr>
            <w:tcW w:type="dxa" w:w="1560"/>
            <w:shd w:val="clear" w:color="auto" w:fill="FDFEFE"/>
          </w:tcPr>
          <w:p>
            <w:pPr>
              <w:spacing w:before="40" w:after="40"/>
            </w:pPr>
            <w:r>
              <w:rPr>
                <w:sz w:val="17"/>
              </w:rPr>
              <w:t>+22% Go tier conversion rate (primary driver)</w:t>
            </w:r>
          </w:p>
        </w:tc>
        <w:tc>
          <w:tcPr>
            <w:tcW w:type="dxa" w:w="1560"/>
            <w:shd w:val="clear" w:color="auto" w:fill="FDFEFE"/>
          </w:tcPr>
          <w:p>
            <w:pPr>
              <w:spacing w:before="40" w:after="40"/>
            </w:pPr>
            <w:r>
              <w:rPr>
                <w:sz w:val="17"/>
              </w:rPr>
              <w:t>−12% Go tier churn</w:t>
            </w:r>
          </w:p>
        </w:tc>
        <w:tc>
          <w:tcPr>
            <w:tcW w:type="dxa" w:w="1560"/>
            <w:shd w:val="clear" w:color="auto" w:fill="FDFEFE"/>
          </w:tcPr>
          <w:p>
            <w:pPr>
              <w:spacing w:before="40" w:after="40"/>
            </w:pPr>
            <w:r>
              <w:rPr>
                <w:sz w:val="17"/>
              </w:rPr>
              <w:t>+JD 61,000 additional Y1 LTV</w:t>
            </w:r>
          </w:p>
        </w:tc>
        <w:tc>
          <w:tcPr>
            <w:tcW w:type="dxa" w:w="1560"/>
            <w:shd w:val="clear" w:color="auto" w:fill="FDFEFE"/>
          </w:tcPr>
          <w:p>
            <w:pPr>
              <w:spacing w:before="40" w:after="40"/>
            </w:pPr>
            <w:r>
              <w:rPr>
                <w:sz w:val="17"/>
              </w:rPr>
              <w:t>IMPLEMENT — high priority</w:t>
            </w:r>
          </w:p>
        </w:tc>
      </w:tr>
      <w:tr>
        <w:tc>
          <w:tcPr>
            <w:tcW w:type="dxa" w:w="1560"/>
            <w:shd w:val="clear" w:color="auto" w:fill="EBF5FB"/>
          </w:tcPr>
          <w:p>
            <w:pPr>
              <w:spacing w:before="40" w:after="40"/>
            </w:pPr>
            <w:r>
              <w:rPr>
                <w:sz w:val="17"/>
              </w:rPr>
              <w:t>Zero surge (Pass tier)</w:t>
            </w:r>
          </w:p>
        </w:tc>
        <w:tc>
          <w:tcPr>
            <w:tcW w:type="dxa" w:w="1560"/>
            <w:shd w:val="clear" w:color="auto" w:fill="EBF5FB"/>
          </w:tcPr>
          <w:p>
            <w:pPr>
              <w:spacing w:before="40" w:after="40"/>
            </w:pPr>
            <w:r>
              <w:rPr>
                <w:sz w:val="17"/>
              </w:rPr>
              <w:t>Negligible — Wasel earns JD 9.99/mo regardless</w:t>
            </w:r>
          </w:p>
        </w:tc>
        <w:tc>
          <w:tcPr>
            <w:tcW w:type="dxa" w:w="1560"/>
            <w:shd w:val="clear" w:color="auto" w:fill="EBF5FB"/>
          </w:tcPr>
          <w:p>
            <w:pPr>
              <w:spacing w:before="40" w:after="40"/>
            </w:pPr>
            <w:r>
              <w:rPr>
                <w:sz w:val="17"/>
              </w:rPr>
              <w:t>+31% Pass conversion rate</w:t>
            </w:r>
          </w:p>
        </w:tc>
        <w:tc>
          <w:tcPr>
            <w:tcW w:type="dxa" w:w="1560"/>
            <w:shd w:val="clear" w:color="auto" w:fill="EBF5FB"/>
          </w:tcPr>
          <w:p>
            <w:pPr>
              <w:spacing w:before="40" w:after="40"/>
            </w:pPr>
            <w:r>
              <w:rPr>
                <w:sz w:val="17"/>
              </w:rPr>
              <w:t>−18% Pass churn (highest value segment)</w:t>
            </w:r>
          </w:p>
        </w:tc>
        <w:tc>
          <w:tcPr>
            <w:tcW w:type="dxa" w:w="1560"/>
            <w:shd w:val="clear" w:color="auto" w:fill="EBF5FB"/>
          </w:tcPr>
          <w:p>
            <w:pPr>
              <w:spacing w:before="40" w:after="40"/>
            </w:pPr>
            <w:r>
              <w:rPr>
                <w:sz w:val="17"/>
              </w:rPr>
              <w:t>+JD 94,000 additional Y1 LTV</w:t>
            </w:r>
          </w:p>
        </w:tc>
        <w:tc>
          <w:tcPr>
            <w:tcW w:type="dxa" w:w="1560"/>
            <w:shd w:val="clear" w:color="auto" w:fill="EBF5FB"/>
          </w:tcPr>
          <w:p>
            <w:pPr>
              <w:spacing w:before="40" w:after="40"/>
            </w:pPr>
            <w:r>
              <w:rPr>
                <w:sz w:val="17"/>
              </w:rPr>
              <w:t>IMPLEMENT — critical</w:t>
            </w:r>
          </w:p>
        </w:tc>
      </w:tr>
      <w:tr>
        <w:tc>
          <w:tcPr>
            <w:tcW w:type="dxa" w:w="1560"/>
            <w:shd w:val="clear" w:color="auto" w:fill="FDFEFE"/>
          </w:tcPr>
          <w:p>
            <w:pPr>
              <w:spacing w:before="40" w:after="40"/>
            </w:pPr>
            <w:r>
              <w:rPr>
                <w:sz w:val="17"/>
              </w:rPr>
              <w:t>Surge removal cost to Wasel (direct)</w:t>
            </w:r>
          </w:p>
        </w:tc>
        <w:tc>
          <w:tcPr>
            <w:tcW w:type="dxa" w:w="1560"/>
            <w:shd w:val="clear" w:color="auto" w:fill="FDFEFE"/>
          </w:tcPr>
          <w:p>
            <w:pPr>
              <w:spacing w:before="40" w:after="40"/>
            </w:pPr>
            <w:r>
              <w:rPr>
                <w:sz w:val="17"/>
              </w:rPr>
              <w:t>JD 0 per ride (Wasel earns flat fee, not % of fare)</w:t>
            </w:r>
          </w:p>
        </w:tc>
        <w:tc>
          <w:tcPr>
            <w:tcW w:type="dxa" w:w="1560"/>
            <w:shd w:val="clear" w:color="auto" w:fill="FDFEFE"/>
          </w:tcPr>
          <w:p>
            <w:pPr>
              <w:spacing w:before="40" w:after="40"/>
            </w:pPr>
            <w:r>
              <w:rPr>
                <w:sz w:val="17"/>
              </w:rPr>
              <w:t>N/A</w:t>
            </w:r>
          </w:p>
        </w:tc>
        <w:tc>
          <w:tcPr>
            <w:tcW w:type="dxa" w:w="1560"/>
            <w:shd w:val="clear" w:color="auto" w:fill="FDFEFE"/>
          </w:tcPr>
          <w:p>
            <w:pPr>
              <w:spacing w:before="40" w:after="40"/>
            </w:pPr>
            <w:r>
              <w:rPr>
                <w:sz w:val="17"/>
              </w:rPr>
              <w:t>N/A</w:t>
            </w:r>
          </w:p>
        </w:tc>
        <w:tc>
          <w:tcPr>
            <w:tcW w:type="dxa" w:w="1560"/>
            <w:shd w:val="clear" w:color="auto" w:fill="FDFEFE"/>
          </w:tcPr>
          <w:p>
            <w:pPr>
              <w:spacing w:before="40" w:after="40"/>
            </w:pPr>
            <w:r>
              <w:rPr>
                <w:sz w:val="17"/>
              </w:rPr>
              <w:t>+JD 177,000 total Y1 uplift vs. surge model</w:t>
            </w:r>
          </w:p>
        </w:tc>
        <w:tc>
          <w:tcPr>
            <w:tcW w:type="dxa" w:w="1560"/>
            <w:shd w:val="clear" w:color="auto" w:fill="FDFEFE"/>
          </w:tcPr>
          <w:p>
            <w:pPr>
              <w:spacing w:before="40" w:after="40"/>
            </w:pPr>
            <w:r>
              <w:rPr>
                <w:sz w:val="17"/>
              </w:rPr>
              <w:t>ZERO COST TO WASEL. This is the structural advantage.</w:t>
            </w:r>
          </w:p>
        </w:tc>
      </w:tr>
    </w:tbl>
    <w:p/>
    <w:tbl>
      <w:tblPr>
        <w:tblW w:type="auto" w:w="0"/>
        <w:tblLook w:firstColumn="1" w:firstRow="1" w:lastColumn="0" w:lastRow="0" w:noHBand="0" w:noVBand="1" w:val="04A0"/>
      </w:tblPr>
      <w:tblGrid>
        <w:gridCol w:w="9360"/>
      </w:tblGrid>
      <w:tr>
        <w:tc>
          <w:tcPr>
            <w:tcW w:type="dxa" w:w="9360"/>
            <w:shd w:val="clear" w:color="auto" w:fill="EBF5FB"/>
          </w:tcPr>
          <w:p>
            <w:pPr>
              <w:spacing w:before="120" w:after="40"/>
              <w:ind w:left="200" w:right="200"/>
            </w:pPr>
            <w:r>
              <w:rPr>
                <w:b/>
                <w:color w:val="0D1B2A"/>
                <w:sz w:val="20"/>
              </w:rPr>
              <w:t>Critical Insight: Surge removal costs Wasel nothing.</w:t>
            </w:r>
          </w:p>
          <w:p>
            <w:pPr>
              <w:spacing w:before="40" w:after="40"/>
              <w:ind w:left="200" w:right="200"/>
            </w:pPr>
            <w:r>
              <w:rPr>
                <w:b w:val="0"/>
                <w:color w:val="0D1B2A"/>
                <w:sz w:val="20"/>
              </w:rPr>
            </w:r>
          </w:p>
          <w:p>
            <w:pPr>
              <w:spacing w:before="40" w:after="120"/>
              <w:ind w:left="200" w:right="200"/>
            </w:pPr>
            <w:r>
              <w:rPr>
                <w:b w:val="0"/>
                <w:color w:val="0D1B2A"/>
                <w:sz w:val="20"/>
              </w:rPr>
              <w:t>Wasel earns flat monthly subscriptions, not a percentage of fares. Removing surge does not reduce Wasel's revenue by a single fils. It costs drivers nothing (they keep 100% of the standard fare). The only effect of surge removal on Wasel is: higher rider conversion, lower churn, higher LTV, and a structural moat that Uber/Careem cannot replicate without destroying their own P&amp;L. This is the most asymmetric competitive advantage in the model.</w:t>
            </w:r>
          </w:p>
        </w:tc>
      </w:tr>
    </w:tbl>
    <w:p/>
    <w:p>
      <w:pPr>
        <w:spacing w:before="320" w:after="80"/>
      </w:pPr>
      <w:r>
        <w:rPr>
          <w:b/>
          <w:color w:val="C99A06"/>
          <w:sz w:val="28"/>
        </w:rPr>
        <w:t>5.4  Subscription Rider Base — Volatility Buffer Analysis</w:t>
      </w:r>
    </w:p>
    <w:p>
      <w:pPr>
        <w:spacing w:before="40" w:after="100"/>
      </w:pPr>
      <w:r>
        <w:rPr>
          <w:b w:val="0"/>
          <w:i w:val="0"/>
          <w:color w:val="3D3D3D"/>
          <w:sz w:val="21"/>
        </w:rPr>
        <w:t>The subscription model converts rider revenue from a variable (ride-volume dependent) source to a recurring fixed base, dramatically reducing financial volatility.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4783E"/>
          </w:tcPr>
          <w:p>
            <w:pPr>
              <w:jc w:val="center"/>
            </w:pPr>
            <w:r>
              <w:rPr>
                <w:b/>
                <w:color w:val="FFFFFF"/>
                <w:sz w:val="19"/>
              </w:rPr>
              <w:t>Metric</w:t>
            </w:r>
          </w:p>
        </w:tc>
        <w:tc>
          <w:tcPr>
            <w:tcW w:type="dxa" w:w="2340"/>
            <w:shd w:val="clear" w:color="auto" w:fill="14783E"/>
          </w:tcPr>
          <w:p>
            <w:pPr>
              <w:jc w:val="center"/>
            </w:pPr>
            <w:r>
              <w:rPr>
                <w:b/>
                <w:color w:val="FFFFFF"/>
                <w:sz w:val="19"/>
              </w:rPr>
              <w:t>Non-Subscription Model</w:t>
            </w:r>
          </w:p>
        </w:tc>
        <w:tc>
          <w:tcPr>
            <w:tcW w:type="dxa" w:w="2340"/>
            <w:shd w:val="clear" w:color="auto" w:fill="14783E"/>
          </w:tcPr>
          <w:p>
            <w:pPr>
              <w:jc w:val="center"/>
            </w:pPr>
            <w:r>
              <w:rPr>
                <w:b/>
                <w:color w:val="FFFFFF"/>
                <w:sz w:val="19"/>
              </w:rPr>
              <w:t>Subscription-Hybrid Model</w:t>
            </w:r>
          </w:p>
        </w:tc>
        <w:tc>
          <w:tcPr>
            <w:tcW w:type="dxa" w:w="2340"/>
            <w:shd w:val="clear" w:color="auto" w:fill="14783E"/>
          </w:tcPr>
          <w:p>
            <w:pPr>
              <w:jc w:val="center"/>
            </w:pPr>
            <w:r>
              <w:rPr>
                <w:b/>
                <w:color w:val="FFFFFF"/>
                <w:sz w:val="19"/>
              </w:rPr>
              <w:t>Improvement</w:t>
            </w:r>
          </w:p>
        </w:tc>
      </w:tr>
      <w:tr>
        <w:tc>
          <w:tcPr>
            <w:tcW w:type="dxa" w:w="2340"/>
            <w:shd w:val="clear" w:color="auto" w:fill="EBF5FB"/>
          </w:tcPr>
          <w:p>
            <w:pPr>
              <w:spacing w:before="40" w:after="40"/>
            </w:pPr>
            <w:r>
              <w:rPr>
                <w:sz w:val="18"/>
              </w:rPr>
              <w:t>Revenue predictability</w:t>
            </w:r>
          </w:p>
        </w:tc>
        <w:tc>
          <w:tcPr>
            <w:tcW w:type="dxa" w:w="2340"/>
            <w:shd w:val="clear" w:color="auto" w:fill="EBF5FB"/>
          </w:tcPr>
          <w:p>
            <w:pPr>
              <w:spacing w:before="40" w:after="40"/>
            </w:pPr>
            <w:r>
              <w:rPr>
                <w:sz w:val="18"/>
              </w:rPr>
              <w:t>Ride volume × JD 0 (Wasel earns nothing per ride)</w:t>
            </w:r>
          </w:p>
        </w:tc>
        <w:tc>
          <w:tcPr>
            <w:tcW w:type="dxa" w:w="2340"/>
            <w:shd w:val="clear" w:color="auto" w:fill="EBF5FB"/>
          </w:tcPr>
          <w:p>
            <w:pPr>
              <w:spacing w:before="40" w:after="40"/>
            </w:pPr>
            <w:r>
              <w:rPr>
                <w:sz w:val="18"/>
              </w:rPr>
              <w:t>Monthly subscriber count × ARPU = predictable</w:t>
            </w:r>
          </w:p>
        </w:tc>
        <w:tc>
          <w:tcPr>
            <w:tcW w:type="dxa" w:w="2340"/>
            <w:shd w:val="clear" w:color="auto" w:fill="EBF5FB"/>
          </w:tcPr>
          <w:p>
            <w:pPr>
              <w:spacing w:before="40" w:after="40"/>
            </w:pPr>
            <w:r>
              <w:rPr>
                <w:sz w:val="18"/>
              </w:rPr>
              <w:t>From 0% to 85%+ predictable revenue base</w:t>
            </w:r>
          </w:p>
        </w:tc>
      </w:tr>
      <w:tr>
        <w:tc>
          <w:tcPr>
            <w:tcW w:type="dxa" w:w="2340"/>
            <w:shd w:val="clear" w:color="auto" w:fill="FDFEFE"/>
          </w:tcPr>
          <w:p>
            <w:pPr>
              <w:spacing w:before="40" w:after="40"/>
            </w:pPr>
            <w:r>
              <w:rPr>
                <w:sz w:val="18"/>
              </w:rPr>
              <w:t>Revenue in low-demand month (Ramadan, school holidays)</w:t>
            </w:r>
          </w:p>
        </w:tc>
        <w:tc>
          <w:tcPr>
            <w:tcW w:type="dxa" w:w="2340"/>
            <w:shd w:val="clear" w:color="auto" w:fill="FDFEFE"/>
          </w:tcPr>
          <w:p>
            <w:pPr>
              <w:spacing w:before="40" w:after="40"/>
            </w:pPr>
            <w:r>
              <w:rPr>
                <w:sz w:val="18"/>
              </w:rPr>
              <w:t>Drops with ride volume</w:t>
            </w:r>
          </w:p>
        </w:tc>
        <w:tc>
          <w:tcPr>
            <w:tcW w:type="dxa" w:w="2340"/>
            <w:shd w:val="clear" w:color="auto" w:fill="FDFEFE"/>
          </w:tcPr>
          <w:p>
            <w:pPr>
              <w:spacing w:before="40" w:after="40"/>
            </w:pPr>
            <w:r>
              <w:rPr>
                <w:sz w:val="18"/>
              </w:rPr>
              <w:t>Subscriber ARPU unchanged regardless of ride frequency</w:t>
            </w:r>
          </w:p>
        </w:tc>
        <w:tc>
          <w:tcPr>
            <w:tcW w:type="dxa" w:w="2340"/>
            <w:shd w:val="clear" w:color="auto" w:fill="FDFEFE"/>
          </w:tcPr>
          <w:p>
            <w:pPr>
              <w:spacing w:before="40" w:after="40"/>
            </w:pPr>
            <w:r>
              <w:rPr>
                <w:sz w:val="18"/>
              </w:rPr>
              <w:t>Zero revenue loss from seasonal ride decline</w:t>
            </w:r>
          </w:p>
        </w:tc>
      </w:tr>
      <w:tr>
        <w:tc>
          <w:tcPr>
            <w:tcW w:type="dxa" w:w="2340"/>
            <w:shd w:val="clear" w:color="auto" w:fill="EBF5FB"/>
          </w:tcPr>
          <w:p>
            <w:pPr>
              <w:spacing w:before="40" w:after="40"/>
            </w:pPr>
            <w:r>
              <w:rPr>
                <w:sz w:val="18"/>
              </w:rPr>
              <w:t>Subscriber churn buffer</w:t>
            </w:r>
          </w:p>
        </w:tc>
        <w:tc>
          <w:tcPr>
            <w:tcW w:type="dxa" w:w="2340"/>
            <w:shd w:val="clear" w:color="auto" w:fill="EBF5FB"/>
          </w:tcPr>
          <w:p>
            <w:pPr>
              <w:spacing w:before="40" w:after="40"/>
            </w:pPr>
            <w:r>
              <w:rPr>
                <w:sz w:val="18"/>
              </w:rPr>
              <w:t>N/A</w:t>
            </w:r>
          </w:p>
        </w:tc>
        <w:tc>
          <w:tcPr>
            <w:tcW w:type="dxa" w:w="2340"/>
            <w:shd w:val="clear" w:color="auto" w:fill="EBF5FB"/>
          </w:tcPr>
          <w:p>
            <w:pPr>
              <w:spacing w:before="40" w:after="40"/>
            </w:pPr>
            <w:r>
              <w:rPr>
                <w:sz w:val="18"/>
              </w:rPr>
              <w:t>7% monthly Go churn = 93% retention. 200 Go subs in M3 → 186 still paying in M4.</w:t>
            </w:r>
          </w:p>
        </w:tc>
        <w:tc>
          <w:tcPr>
            <w:tcW w:type="dxa" w:w="2340"/>
            <w:shd w:val="clear" w:color="auto" w:fill="EBF5FB"/>
          </w:tcPr>
          <w:p>
            <w:pPr>
              <w:spacing w:before="40" w:after="40"/>
            </w:pPr>
            <w:r>
              <w:rPr>
                <w:sz w:val="18"/>
              </w:rPr>
              <w:t>+JD 27,000 annualized revenue stability vs. zero</w:t>
            </w:r>
          </w:p>
        </w:tc>
      </w:tr>
      <w:tr>
        <w:tc>
          <w:tcPr>
            <w:tcW w:type="dxa" w:w="2340"/>
            <w:shd w:val="clear" w:color="auto" w:fill="FDFEFE"/>
          </w:tcPr>
          <w:p>
            <w:pPr>
              <w:spacing w:before="40" w:after="40"/>
            </w:pPr>
            <w:r>
              <w:rPr>
                <w:sz w:val="18"/>
              </w:rPr>
              <w:t>Impact of driver supply shortage on revenue</w:t>
            </w:r>
          </w:p>
        </w:tc>
        <w:tc>
          <w:tcPr>
            <w:tcW w:type="dxa" w:w="2340"/>
            <w:shd w:val="clear" w:color="auto" w:fill="FDFEFE"/>
          </w:tcPr>
          <w:p>
            <w:pPr>
              <w:spacing w:before="40" w:after="40"/>
            </w:pPr>
            <w:r>
              <w:rPr>
                <w:sz w:val="18"/>
              </w:rPr>
              <w:t>Ride volume drops → platform earns less</w:t>
            </w:r>
          </w:p>
        </w:tc>
        <w:tc>
          <w:tcPr>
            <w:tcW w:type="dxa" w:w="2340"/>
            <w:shd w:val="clear" w:color="auto" w:fill="FDFEFE"/>
          </w:tcPr>
          <w:p>
            <w:pPr>
              <w:spacing w:before="40" w:after="40"/>
            </w:pPr>
            <w:r>
              <w:rPr>
                <w:sz w:val="18"/>
              </w:rPr>
              <w:t>Subscription revenue unchanged during supply constraints</w:t>
            </w:r>
          </w:p>
        </w:tc>
        <w:tc>
          <w:tcPr>
            <w:tcW w:type="dxa" w:w="2340"/>
            <w:shd w:val="clear" w:color="auto" w:fill="FDFEFE"/>
          </w:tcPr>
          <w:p>
            <w:pPr>
              <w:spacing w:before="40" w:after="40"/>
            </w:pPr>
            <w:r>
              <w:rPr>
                <w:sz w:val="18"/>
              </w:rPr>
              <w:t>Revenue floor protected during P1 supply-building phase</w:t>
            </w:r>
          </w:p>
        </w:tc>
      </w:tr>
      <w:tr>
        <w:tc>
          <w:tcPr>
            <w:tcW w:type="dxa" w:w="2340"/>
            <w:shd w:val="clear" w:color="auto" w:fill="EBF5FB"/>
          </w:tcPr>
          <w:p>
            <w:pPr>
              <w:spacing w:before="40" w:after="40"/>
            </w:pPr>
            <w:r>
              <w:rPr>
                <w:sz w:val="18"/>
              </w:rPr>
              <w:t>Investor revenue quality score</w:t>
            </w:r>
          </w:p>
        </w:tc>
        <w:tc>
          <w:tcPr>
            <w:tcW w:type="dxa" w:w="2340"/>
            <w:shd w:val="clear" w:color="auto" w:fill="EBF5FB"/>
          </w:tcPr>
          <w:p>
            <w:pPr>
              <w:spacing w:before="40" w:after="40"/>
            </w:pPr>
            <w:r>
              <w:rPr>
                <w:sz w:val="18"/>
              </w:rPr>
              <w:t>Ride GMV — lowest quality metric</w:t>
            </w:r>
          </w:p>
        </w:tc>
        <w:tc>
          <w:tcPr>
            <w:tcW w:type="dxa" w:w="2340"/>
            <w:shd w:val="clear" w:color="auto" w:fill="EBF5FB"/>
          </w:tcPr>
          <w:p>
            <w:pPr>
              <w:spacing w:before="40" w:after="40"/>
            </w:pPr>
            <w:r>
              <w:rPr>
                <w:sz w:val="18"/>
              </w:rPr>
              <w:t>SaaS-equivalent MRR — highest quality metric</w:t>
            </w:r>
          </w:p>
        </w:tc>
        <w:tc>
          <w:tcPr>
            <w:tcW w:type="dxa" w:w="2340"/>
            <w:shd w:val="clear" w:color="auto" w:fill="EBF5FB"/>
          </w:tcPr>
          <w:p>
            <w:pPr>
              <w:spacing w:before="40" w:after="40"/>
            </w:pPr>
            <w:r>
              <w:rPr>
                <w:sz w:val="18"/>
              </w:rPr>
              <w:t>Valuation multiple uplift: 2–4× on same EBITDA</w:t>
            </w:r>
          </w:p>
        </w:tc>
      </w:tr>
    </w:tbl>
    <w:p/>
    <w:p>
      <w:r>
        <w:br w:type="page"/>
      </w:r>
    </w:p>
    <w:tbl>
      <w:tblPr>
        <w:tblW w:type="auto" w:w="0"/>
        <w:jc w:val="center"/>
        <w:tblLook w:firstColumn="1" w:firstRow="1" w:lastColumn="0" w:lastRow="0" w:noHBand="0" w:noVBand="1" w:val="04A0"/>
      </w:tblPr>
      <w:tblGrid>
        <w:gridCol w:w="9360"/>
      </w:tblGrid>
      <w:tr>
        <w:tc>
          <w:tcPr>
            <w:tcW w:type="dxa" w:w="9360"/>
            <w:shd w:val="clear" w:color="auto" w:fill="0D1B2A"/>
          </w:tcPr>
          <w:p>
            <w:pPr>
              <w:spacing w:before="200" w:after="80"/>
              <w:jc w:val="center"/>
            </w:pPr>
            <w:r>
              <w:rPr>
                <w:b/>
                <w:color w:val="FFFFFF"/>
                <w:sz w:val="30"/>
              </w:rPr>
              <w:t>06  EXECUTION TIMELINE</w:t>
            </w:r>
          </w:p>
          <w:p>
            <w:pPr>
              <w:spacing w:after="160"/>
              <w:jc w:val="center"/>
            </w:pPr>
            <w:r>
              <w:rPr>
                <w:i/>
                <w:color w:val="FFFFFF"/>
                <w:sz w:val="18"/>
              </w:rPr>
              <w:t>90-day tactical rollout · 6-month optimization · KPI dashboard · Gantt breakdown</w:t>
            </w:r>
          </w:p>
        </w:tc>
      </w:tr>
    </w:tbl>
    <w:p/>
    <w:p>
      <w:pPr>
        <w:spacing w:before="320" w:after="80"/>
      </w:pPr>
      <w:r>
        <w:rPr>
          <w:b/>
          <w:color w:val="0D1B2A"/>
          <w:sz w:val="28"/>
        </w:rPr>
        <w:t>6.1  90-Day Tactical Rollout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0D1B2A"/>
          </w:tcPr>
          <w:p>
            <w:pPr>
              <w:jc w:val="center"/>
            </w:pPr>
            <w:r>
              <w:rPr>
                <w:b/>
                <w:color w:val="FFFFFF"/>
                <w:sz w:val="19"/>
              </w:rPr>
              <w:t>Week</w:t>
            </w:r>
          </w:p>
        </w:tc>
        <w:tc>
          <w:tcPr>
            <w:tcW w:type="dxa" w:w="1560"/>
            <w:shd w:val="clear" w:color="auto" w:fill="0D1B2A"/>
          </w:tcPr>
          <w:p>
            <w:pPr>
              <w:jc w:val="center"/>
            </w:pPr>
            <w:r>
              <w:rPr>
                <w:b/>
                <w:color w:val="FFFFFF"/>
                <w:sz w:val="19"/>
              </w:rPr>
              <w:t>Phase</w:t>
            </w:r>
          </w:p>
        </w:tc>
        <w:tc>
          <w:tcPr>
            <w:tcW w:type="dxa" w:w="1560"/>
            <w:shd w:val="clear" w:color="auto" w:fill="0D1B2A"/>
          </w:tcPr>
          <w:p>
            <w:pPr>
              <w:jc w:val="center"/>
            </w:pPr>
            <w:r>
              <w:rPr>
                <w:b/>
                <w:color w:val="FFFFFF"/>
                <w:sz w:val="19"/>
              </w:rPr>
              <w:t>Workstream</w:t>
            </w:r>
          </w:p>
        </w:tc>
        <w:tc>
          <w:tcPr>
            <w:tcW w:type="dxa" w:w="1560"/>
            <w:shd w:val="clear" w:color="auto" w:fill="0D1B2A"/>
          </w:tcPr>
          <w:p>
            <w:pPr>
              <w:jc w:val="center"/>
            </w:pPr>
            <w:r>
              <w:rPr>
                <w:b/>
                <w:color w:val="FFFFFF"/>
                <w:sz w:val="19"/>
              </w:rPr>
              <w:t>Key Deliverables</w:t>
            </w:r>
          </w:p>
        </w:tc>
        <w:tc>
          <w:tcPr>
            <w:tcW w:type="dxa" w:w="1560"/>
            <w:shd w:val="clear" w:color="auto" w:fill="0D1B2A"/>
          </w:tcPr>
          <w:p>
            <w:pPr>
              <w:jc w:val="center"/>
            </w:pPr>
            <w:r>
              <w:rPr>
                <w:b/>
                <w:color w:val="FFFFFF"/>
                <w:sz w:val="19"/>
              </w:rPr>
              <w:t>Owner</w:t>
            </w:r>
          </w:p>
        </w:tc>
        <w:tc>
          <w:tcPr>
            <w:tcW w:type="dxa" w:w="1560"/>
            <w:shd w:val="clear" w:color="auto" w:fill="0D1B2A"/>
          </w:tcPr>
          <w:p>
            <w:pPr>
              <w:jc w:val="center"/>
            </w:pPr>
            <w:r>
              <w:rPr>
                <w:b/>
                <w:color w:val="FFFFFF"/>
                <w:sz w:val="19"/>
              </w:rPr>
              <w:t>Success Metric</w:t>
            </w:r>
          </w:p>
        </w:tc>
      </w:tr>
      <w:tr>
        <w:tc>
          <w:tcPr>
            <w:tcW w:type="dxa" w:w="1560"/>
            <w:shd w:val="clear" w:color="auto" w:fill="EBF5FB"/>
          </w:tcPr>
          <w:p>
            <w:pPr>
              <w:spacing w:before="40" w:after="40"/>
            </w:pPr>
            <w:r>
              <w:rPr>
                <w:sz w:val="17"/>
              </w:rPr>
              <w:t>W1–2</w:t>
            </w:r>
          </w:p>
        </w:tc>
        <w:tc>
          <w:tcPr>
            <w:tcW w:type="dxa" w:w="1560"/>
            <w:shd w:val="clear" w:color="auto" w:fill="EBF5FB"/>
          </w:tcPr>
          <w:p>
            <w:pPr>
              <w:spacing w:before="40" w:after="40"/>
            </w:pPr>
            <w:r>
              <w:rPr>
                <w:sz w:val="17"/>
              </w:rPr>
              <w:t>Foundation</w:t>
            </w:r>
          </w:p>
        </w:tc>
        <w:tc>
          <w:tcPr>
            <w:tcW w:type="dxa" w:w="1560"/>
            <w:shd w:val="clear" w:color="auto" w:fill="EBF5FB"/>
          </w:tcPr>
          <w:p>
            <w:pPr>
              <w:spacing w:before="40" w:after="40"/>
            </w:pPr>
            <w:r>
              <w:rPr>
                <w:sz w:val="17"/>
              </w:rPr>
              <w:t>Product</w:t>
            </w:r>
          </w:p>
        </w:tc>
        <w:tc>
          <w:tcPr>
            <w:tcW w:type="dxa" w:w="1560"/>
            <w:shd w:val="clear" w:color="auto" w:fill="EBF5FB"/>
          </w:tcPr>
          <w:p>
            <w:pPr>
              <w:spacing w:before="40" w:after="40"/>
            </w:pPr>
            <w:r>
              <w:rPr>
                <w:sz w:val="17"/>
              </w:rPr>
              <w:t>WASEL LOCK™ price display implemented. Pre-booking fare confirmation screen live.</w:t>
            </w:r>
          </w:p>
        </w:tc>
        <w:tc>
          <w:tcPr>
            <w:tcW w:type="dxa" w:w="1560"/>
            <w:shd w:val="clear" w:color="auto" w:fill="EBF5FB"/>
          </w:tcPr>
          <w:p>
            <w:pPr>
              <w:spacing w:before="40" w:after="40"/>
            </w:pPr>
            <w:r>
              <w:rPr>
                <w:sz w:val="17"/>
              </w:rPr>
              <w:t>Tech Lead</w:t>
            </w:r>
          </w:p>
        </w:tc>
        <w:tc>
          <w:tcPr>
            <w:tcW w:type="dxa" w:w="1560"/>
            <w:shd w:val="clear" w:color="auto" w:fill="EBF5FB"/>
          </w:tcPr>
          <w:p>
            <w:pPr>
              <w:spacing w:before="40" w:after="40"/>
            </w:pPr>
            <w:r>
              <w:rPr>
                <w:sz w:val="17"/>
              </w:rPr>
              <w:t>100% of rides show locked fare pre-confirmation</w:t>
            </w:r>
          </w:p>
        </w:tc>
      </w:tr>
      <w:tr>
        <w:tc>
          <w:tcPr>
            <w:tcW w:type="dxa" w:w="1560"/>
            <w:shd w:val="clear" w:color="auto" w:fill="FDFEFE"/>
          </w:tcPr>
          <w:p>
            <w:pPr>
              <w:spacing w:before="40" w:after="40"/>
            </w:pPr>
            <w:r>
              <w:rPr>
                <w:sz w:val="17"/>
              </w:rPr>
              <w:t>W1–2</w:t>
            </w:r>
          </w:p>
        </w:tc>
        <w:tc>
          <w:tcPr>
            <w:tcW w:type="dxa" w:w="1560"/>
            <w:shd w:val="clear" w:color="auto" w:fill="FDFEFE"/>
          </w:tcPr>
          <w:p>
            <w:pPr>
              <w:spacing w:before="40" w:after="40"/>
            </w:pPr>
            <w:r>
              <w:rPr>
                <w:sz w:val="17"/>
              </w:rPr>
              <w:t>Foundation</w:t>
            </w:r>
          </w:p>
        </w:tc>
        <w:tc>
          <w:tcPr>
            <w:tcW w:type="dxa" w:w="1560"/>
            <w:shd w:val="clear" w:color="auto" w:fill="FDFEFE"/>
          </w:tcPr>
          <w:p>
            <w:pPr>
              <w:spacing w:before="40" w:after="40"/>
            </w:pPr>
            <w:r>
              <w:rPr>
                <w:sz w:val="17"/>
              </w:rPr>
              <w:t>Safety</w:t>
            </w:r>
          </w:p>
        </w:tc>
        <w:tc>
          <w:tcPr>
            <w:tcW w:type="dxa" w:w="1560"/>
            <w:shd w:val="clear" w:color="auto" w:fill="FDFEFE"/>
          </w:tcPr>
          <w:p>
            <w:pPr>
              <w:spacing w:before="40" w:after="40"/>
            </w:pPr>
            <w:r>
              <w:rPr>
                <w:sz w:val="17"/>
              </w:rPr>
              <w:t>WASEL SAFE TRIP™ live link feature built and tested. SOS button prominence QA'd.</w:t>
            </w:r>
          </w:p>
        </w:tc>
        <w:tc>
          <w:tcPr>
            <w:tcW w:type="dxa" w:w="1560"/>
            <w:shd w:val="clear" w:color="auto" w:fill="FDFEFE"/>
          </w:tcPr>
          <w:p>
            <w:pPr>
              <w:spacing w:before="40" w:after="40"/>
            </w:pPr>
            <w:r>
              <w:rPr>
                <w:sz w:val="17"/>
              </w:rPr>
              <w:t>Tech Lead</w:t>
            </w:r>
          </w:p>
        </w:tc>
        <w:tc>
          <w:tcPr>
            <w:tcW w:type="dxa" w:w="1560"/>
            <w:shd w:val="clear" w:color="auto" w:fill="FDFEFE"/>
          </w:tcPr>
          <w:p>
            <w:pPr>
              <w:spacing w:before="40" w:after="40"/>
            </w:pPr>
            <w:r>
              <w:rPr>
                <w:sz w:val="17"/>
              </w:rPr>
              <w:t>Live link shareable in &lt;2 taps</w:t>
            </w:r>
          </w:p>
        </w:tc>
      </w:tr>
      <w:tr>
        <w:tc>
          <w:tcPr>
            <w:tcW w:type="dxa" w:w="1560"/>
            <w:shd w:val="clear" w:color="auto" w:fill="EBF5FB"/>
          </w:tcPr>
          <w:p>
            <w:pPr>
              <w:spacing w:before="40" w:after="40"/>
            </w:pPr>
            <w:r>
              <w:rPr>
                <w:sz w:val="17"/>
              </w:rPr>
              <w:t>W1–2</w:t>
            </w:r>
          </w:p>
        </w:tc>
        <w:tc>
          <w:tcPr>
            <w:tcW w:type="dxa" w:w="1560"/>
            <w:shd w:val="clear" w:color="auto" w:fill="EBF5FB"/>
          </w:tcPr>
          <w:p>
            <w:pPr>
              <w:spacing w:before="40" w:after="40"/>
            </w:pPr>
            <w:r>
              <w:rPr>
                <w:sz w:val="17"/>
              </w:rPr>
              <w:t>Foundation</w:t>
            </w:r>
          </w:p>
        </w:tc>
        <w:tc>
          <w:tcPr>
            <w:tcW w:type="dxa" w:w="1560"/>
            <w:shd w:val="clear" w:color="auto" w:fill="EBF5FB"/>
          </w:tcPr>
          <w:p>
            <w:pPr>
              <w:spacing w:before="40" w:after="40"/>
            </w:pPr>
            <w:r>
              <w:rPr>
                <w:sz w:val="17"/>
              </w:rPr>
              <w:t>CRM</w:t>
            </w:r>
          </w:p>
        </w:tc>
        <w:tc>
          <w:tcPr>
            <w:tcW w:type="dxa" w:w="1560"/>
            <w:shd w:val="clear" w:color="auto" w:fill="EBF5FB"/>
          </w:tcPr>
          <w:p>
            <w:pPr>
              <w:spacing w:before="40" w:after="40"/>
            </w:pPr>
            <w:r>
              <w:rPr>
                <w:sz w:val="17"/>
              </w:rPr>
              <w:t>WhatsApp Business API configured. Day 0–7 onboarding sequence built and tested.</w:t>
            </w:r>
          </w:p>
        </w:tc>
        <w:tc>
          <w:tcPr>
            <w:tcW w:type="dxa" w:w="1560"/>
            <w:shd w:val="clear" w:color="auto" w:fill="EBF5FB"/>
          </w:tcPr>
          <w:p>
            <w:pPr>
              <w:spacing w:before="40" w:after="40"/>
            </w:pPr>
            <w:r>
              <w:rPr>
                <w:sz w:val="17"/>
              </w:rPr>
              <w:t>Growth Lead</w:t>
            </w:r>
          </w:p>
        </w:tc>
        <w:tc>
          <w:tcPr>
            <w:tcW w:type="dxa" w:w="1560"/>
            <w:shd w:val="clear" w:color="auto" w:fill="EBF5FB"/>
          </w:tcPr>
          <w:p>
            <w:pPr>
              <w:spacing w:before="40" w:after="40"/>
            </w:pPr>
            <w:r>
              <w:rPr>
                <w:sz w:val="17"/>
              </w:rPr>
              <w:t>Message delivery rate &gt;98%</w:t>
            </w:r>
          </w:p>
        </w:tc>
      </w:tr>
      <w:tr>
        <w:tc>
          <w:tcPr>
            <w:tcW w:type="dxa" w:w="1560"/>
            <w:shd w:val="clear" w:color="auto" w:fill="FDFEFE"/>
          </w:tcPr>
          <w:p>
            <w:pPr>
              <w:spacing w:before="40" w:after="40"/>
            </w:pPr>
            <w:r>
              <w:rPr>
                <w:sz w:val="17"/>
              </w:rPr>
              <w:t>W2–3</w:t>
            </w:r>
          </w:p>
        </w:tc>
        <w:tc>
          <w:tcPr>
            <w:tcW w:type="dxa" w:w="1560"/>
            <w:shd w:val="clear" w:color="auto" w:fill="FDFEFE"/>
          </w:tcPr>
          <w:p>
            <w:pPr>
              <w:spacing w:before="40" w:after="40"/>
            </w:pPr>
            <w:r>
              <w:rPr>
                <w:sz w:val="17"/>
              </w:rPr>
              <w:t>Foundation</w:t>
            </w:r>
          </w:p>
        </w:tc>
        <w:tc>
          <w:tcPr>
            <w:tcW w:type="dxa" w:w="1560"/>
            <w:shd w:val="clear" w:color="auto" w:fill="FDFEFE"/>
          </w:tcPr>
          <w:p>
            <w:pPr>
              <w:spacing w:before="40" w:after="40"/>
            </w:pPr>
            <w:r>
              <w:rPr>
                <w:sz w:val="17"/>
              </w:rPr>
              <w:t>Pricing</w:t>
            </w:r>
          </w:p>
        </w:tc>
        <w:tc>
          <w:tcPr>
            <w:tcW w:type="dxa" w:w="1560"/>
            <w:shd w:val="clear" w:color="auto" w:fill="FDFEFE"/>
          </w:tcPr>
          <w:p>
            <w:pPr>
              <w:spacing w:before="40" w:after="40"/>
            </w:pPr>
            <w:r>
              <w:rPr>
                <w:sz w:val="17"/>
              </w:rPr>
              <w:t>Subscription paywall screens built: Standard / Go (JD 4.99) / Pass (JD 9.99). Decoy structure implemented.</w:t>
            </w:r>
          </w:p>
        </w:tc>
        <w:tc>
          <w:tcPr>
            <w:tcW w:type="dxa" w:w="1560"/>
            <w:shd w:val="clear" w:color="auto" w:fill="FDFEFE"/>
          </w:tcPr>
          <w:p>
            <w:pPr>
              <w:spacing w:before="40" w:after="40"/>
            </w:pPr>
            <w:r>
              <w:rPr>
                <w:sz w:val="17"/>
              </w:rPr>
              <w:t>Product</w:t>
            </w:r>
          </w:p>
        </w:tc>
        <w:tc>
          <w:tcPr>
            <w:tcW w:type="dxa" w:w="1560"/>
            <w:shd w:val="clear" w:color="auto" w:fill="FDFEFE"/>
          </w:tcPr>
          <w:p>
            <w:pPr>
              <w:spacing w:before="40" w:after="40"/>
            </w:pPr>
            <w:r>
              <w:rPr>
                <w:sz w:val="17"/>
              </w:rPr>
              <w:t>Paywall A/B test variants ready</w:t>
            </w:r>
          </w:p>
        </w:tc>
      </w:tr>
      <w:tr>
        <w:tc>
          <w:tcPr>
            <w:tcW w:type="dxa" w:w="1560"/>
            <w:shd w:val="clear" w:color="auto" w:fill="EBF5FB"/>
          </w:tcPr>
          <w:p>
            <w:pPr>
              <w:spacing w:before="40" w:after="40"/>
            </w:pPr>
            <w:r>
              <w:rPr>
                <w:sz w:val="17"/>
              </w:rPr>
              <w:t>W3–4</w:t>
            </w:r>
          </w:p>
        </w:tc>
        <w:tc>
          <w:tcPr>
            <w:tcW w:type="dxa" w:w="1560"/>
            <w:shd w:val="clear" w:color="auto" w:fill="EBF5FB"/>
          </w:tcPr>
          <w:p>
            <w:pPr>
              <w:spacing w:before="40" w:after="40"/>
            </w:pPr>
            <w:r>
              <w:rPr>
                <w:sz w:val="17"/>
              </w:rPr>
              <w:t>Acquisition</w:t>
            </w:r>
          </w:p>
        </w:tc>
        <w:tc>
          <w:tcPr>
            <w:tcW w:type="dxa" w:w="1560"/>
            <w:shd w:val="clear" w:color="auto" w:fill="EBF5FB"/>
          </w:tcPr>
          <w:p>
            <w:pPr>
              <w:spacing w:before="40" w:after="40"/>
            </w:pPr>
            <w:r>
              <w:rPr>
                <w:sz w:val="17"/>
              </w:rPr>
              <w:t>Driver-side</w:t>
            </w:r>
          </w:p>
        </w:tc>
        <w:tc>
          <w:tcPr>
            <w:tcW w:type="dxa" w:w="1560"/>
            <w:shd w:val="clear" w:color="auto" w:fill="EBF5FB"/>
          </w:tcPr>
          <w:p>
            <w:pPr>
              <w:spacing w:before="40" w:after="40"/>
            </w:pPr>
            <w:r>
              <w:rPr>
                <w:sz w:val="17"/>
              </w:rPr>
              <w:t>Driver reliability score calculation live. Score visible to riders before booking.</w:t>
            </w:r>
          </w:p>
        </w:tc>
        <w:tc>
          <w:tcPr>
            <w:tcW w:type="dxa" w:w="1560"/>
            <w:shd w:val="clear" w:color="auto" w:fill="EBF5FB"/>
          </w:tcPr>
          <w:p>
            <w:pPr>
              <w:spacing w:before="40" w:after="40"/>
            </w:pPr>
            <w:r>
              <w:rPr>
                <w:sz w:val="17"/>
              </w:rPr>
              <w:t>Tech Lead</w:t>
            </w:r>
          </w:p>
        </w:tc>
        <w:tc>
          <w:tcPr>
            <w:tcW w:type="dxa" w:w="1560"/>
            <w:shd w:val="clear" w:color="auto" w:fill="EBF5FB"/>
          </w:tcPr>
          <w:p>
            <w:pPr>
              <w:spacing w:before="40" w:after="40"/>
            </w:pPr>
            <w:r>
              <w:rPr>
                <w:sz w:val="17"/>
              </w:rPr>
              <w:t>All active drivers have reliability score</w:t>
            </w:r>
          </w:p>
        </w:tc>
      </w:tr>
      <w:tr>
        <w:tc>
          <w:tcPr>
            <w:tcW w:type="dxa" w:w="1560"/>
            <w:shd w:val="clear" w:color="auto" w:fill="FDFEFE"/>
          </w:tcPr>
          <w:p>
            <w:pPr>
              <w:spacing w:before="40" w:after="40"/>
            </w:pPr>
            <w:r>
              <w:rPr>
                <w:sz w:val="17"/>
              </w:rPr>
              <w:t>W3–4</w:t>
            </w:r>
          </w:p>
        </w:tc>
        <w:tc>
          <w:tcPr>
            <w:tcW w:type="dxa" w:w="1560"/>
            <w:shd w:val="clear" w:color="auto" w:fill="FDFEFE"/>
          </w:tcPr>
          <w:p>
            <w:pPr>
              <w:spacing w:before="40" w:after="40"/>
            </w:pPr>
            <w:r>
              <w:rPr>
                <w:sz w:val="17"/>
              </w:rPr>
              <w:t>Acquisition</w:t>
            </w:r>
          </w:p>
        </w:tc>
        <w:tc>
          <w:tcPr>
            <w:tcW w:type="dxa" w:w="1560"/>
            <w:shd w:val="clear" w:color="auto" w:fill="FDFEFE"/>
          </w:tcPr>
          <w:p>
            <w:pPr>
              <w:spacing w:before="40" w:after="40"/>
            </w:pPr>
            <w:r>
              <w:rPr>
                <w:sz w:val="17"/>
              </w:rPr>
              <w:t>Rider</w:t>
            </w:r>
          </w:p>
        </w:tc>
        <w:tc>
          <w:tcPr>
            <w:tcW w:type="dxa" w:w="1560"/>
            <w:shd w:val="clear" w:color="auto" w:fill="FDFEFE"/>
          </w:tcPr>
          <w:p>
            <w:pPr>
              <w:spacing w:before="40" w:after="40"/>
            </w:pPr>
            <w:r>
              <w:rPr>
                <w:sz w:val="17"/>
              </w:rPr>
              <w:t>University connector programme: recruit 1 connector per campus, 15 campuses.</w:t>
            </w:r>
          </w:p>
        </w:tc>
        <w:tc>
          <w:tcPr>
            <w:tcW w:type="dxa" w:w="1560"/>
            <w:shd w:val="clear" w:color="auto" w:fill="FDFEFE"/>
          </w:tcPr>
          <w:p>
            <w:pPr>
              <w:spacing w:before="40" w:after="40"/>
            </w:pPr>
            <w:r>
              <w:rPr>
                <w:sz w:val="17"/>
              </w:rPr>
              <w:t>Growth Lead</w:t>
            </w:r>
          </w:p>
        </w:tc>
        <w:tc>
          <w:tcPr>
            <w:tcW w:type="dxa" w:w="1560"/>
            <w:shd w:val="clear" w:color="auto" w:fill="FDFEFE"/>
          </w:tcPr>
          <w:p>
            <w:pPr>
              <w:spacing w:before="40" w:after="40"/>
            </w:pPr>
            <w:r>
              <w:rPr>
                <w:sz w:val="17"/>
              </w:rPr>
              <w:t>15 connectors confirmed, cards distributed</w:t>
            </w:r>
          </w:p>
        </w:tc>
      </w:tr>
      <w:tr>
        <w:tc>
          <w:tcPr>
            <w:tcW w:type="dxa" w:w="1560"/>
            <w:shd w:val="clear" w:color="auto" w:fill="EBF5FB"/>
          </w:tcPr>
          <w:p>
            <w:pPr>
              <w:spacing w:before="40" w:after="40"/>
            </w:pPr>
            <w:r>
              <w:rPr>
                <w:sz w:val="17"/>
              </w:rPr>
              <w:t>W4–5</w:t>
            </w:r>
          </w:p>
        </w:tc>
        <w:tc>
          <w:tcPr>
            <w:tcW w:type="dxa" w:w="1560"/>
            <w:shd w:val="clear" w:color="auto" w:fill="EBF5FB"/>
          </w:tcPr>
          <w:p>
            <w:pPr>
              <w:spacing w:before="40" w:after="40"/>
            </w:pPr>
            <w:r>
              <w:rPr>
                <w:sz w:val="17"/>
              </w:rPr>
              <w:t>Acquisition</w:t>
            </w:r>
          </w:p>
        </w:tc>
        <w:tc>
          <w:tcPr>
            <w:tcW w:type="dxa" w:w="1560"/>
            <w:shd w:val="clear" w:color="auto" w:fill="EBF5FB"/>
          </w:tcPr>
          <w:p>
            <w:pPr>
              <w:spacing w:before="40" w:after="40"/>
            </w:pPr>
            <w:r>
              <w:rPr>
                <w:sz w:val="17"/>
              </w:rPr>
              <w:t>Risk Reversal</w:t>
            </w:r>
          </w:p>
        </w:tc>
        <w:tc>
          <w:tcPr>
            <w:tcW w:type="dxa" w:w="1560"/>
            <w:shd w:val="clear" w:color="auto" w:fill="EBF5FB"/>
          </w:tcPr>
          <w:p>
            <w:pPr>
              <w:spacing w:before="40" w:after="40"/>
            </w:pPr>
            <w:r>
              <w:rPr>
                <w:sz w:val="17"/>
              </w:rPr>
              <w:t>First Ride Guarantee live in CRM. Cancellation credit JD 1.00 auto-trigger built.</w:t>
            </w:r>
          </w:p>
        </w:tc>
        <w:tc>
          <w:tcPr>
            <w:tcW w:type="dxa" w:w="1560"/>
            <w:shd w:val="clear" w:color="auto" w:fill="EBF5FB"/>
          </w:tcPr>
          <w:p>
            <w:pPr>
              <w:spacing w:before="40" w:after="40"/>
            </w:pPr>
            <w:r>
              <w:rPr>
                <w:sz w:val="17"/>
              </w:rPr>
              <w:t>Product + Finance</w:t>
            </w:r>
          </w:p>
        </w:tc>
        <w:tc>
          <w:tcPr>
            <w:tcW w:type="dxa" w:w="1560"/>
            <w:shd w:val="clear" w:color="auto" w:fill="EBF5FB"/>
          </w:tcPr>
          <w:p>
            <w:pPr>
              <w:spacing w:before="40" w:after="40"/>
            </w:pPr>
            <w:r>
              <w:rPr>
                <w:sz w:val="17"/>
              </w:rPr>
              <w:t>Guarantee redemption tracking active</w:t>
            </w:r>
          </w:p>
        </w:tc>
      </w:tr>
      <w:tr>
        <w:tc>
          <w:tcPr>
            <w:tcW w:type="dxa" w:w="1560"/>
            <w:shd w:val="clear" w:color="auto" w:fill="FDFEFE"/>
          </w:tcPr>
          <w:p>
            <w:pPr>
              <w:spacing w:before="40" w:after="40"/>
            </w:pPr>
            <w:r>
              <w:rPr>
                <w:sz w:val="17"/>
              </w:rPr>
              <w:t>W5–8</w:t>
            </w:r>
          </w:p>
        </w:tc>
        <w:tc>
          <w:tcPr>
            <w:tcW w:type="dxa" w:w="1560"/>
            <w:shd w:val="clear" w:color="auto" w:fill="FDFEFE"/>
          </w:tcPr>
          <w:p>
            <w:pPr>
              <w:spacing w:before="40" w:after="40"/>
            </w:pPr>
            <w:r>
              <w:rPr>
                <w:sz w:val="17"/>
              </w:rPr>
              <w:t>Activation</w:t>
            </w:r>
          </w:p>
        </w:tc>
        <w:tc>
          <w:tcPr>
            <w:tcW w:type="dxa" w:w="1560"/>
            <w:shd w:val="clear" w:color="auto" w:fill="FDFEFE"/>
          </w:tcPr>
          <w:p>
            <w:pPr>
              <w:spacing w:before="40" w:after="40"/>
            </w:pPr>
            <w:r>
              <w:rPr>
                <w:sz w:val="17"/>
              </w:rPr>
              <w:t>Behavioral</w:t>
            </w:r>
          </w:p>
        </w:tc>
        <w:tc>
          <w:tcPr>
            <w:tcW w:type="dxa" w:w="1560"/>
            <w:shd w:val="clear" w:color="auto" w:fill="FDFEFE"/>
          </w:tcPr>
          <w:p>
            <w:pPr>
              <w:spacing w:before="40" w:after="40"/>
            </w:pPr>
            <w:r>
              <w:rPr>
                <w:sz w:val="17"/>
              </w:rPr>
              <w:t>Week 1 rider experience sequence fully live. Surge loss-aversion nudge deployed.</w:t>
            </w:r>
          </w:p>
        </w:tc>
        <w:tc>
          <w:tcPr>
            <w:tcW w:type="dxa" w:w="1560"/>
            <w:shd w:val="clear" w:color="auto" w:fill="FDFEFE"/>
          </w:tcPr>
          <w:p>
            <w:pPr>
              <w:spacing w:before="40" w:after="40"/>
            </w:pPr>
            <w:r>
              <w:rPr>
                <w:sz w:val="17"/>
              </w:rPr>
              <w:t>Growth Lead</w:t>
            </w:r>
          </w:p>
        </w:tc>
        <w:tc>
          <w:tcPr>
            <w:tcW w:type="dxa" w:w="1560"/>
            <w:shd w:val="clear" w:color="auto" w:fill="FDFEFE"/>
          </w:tcPr>
          <w:p>
            <w:pPr>
              <w:spacing w:before="40" w:after="40"/>
            </w:pPr>
            <w:r>
              <w:rPr>
                <w:sz w:val="17"/>
              </w:rPr>
              <w:t>&gt;25% subscription conversion from active M1 riders</w:t>
            </w:r>
          </w:p>
        </w:tc>
      </w:tr>
      <w:tr>
        <w:tc>
          <w:tcPr>
            <w:tcW w:type="dxa" w:w="1560"/>
            <w:shd w:val="clear" w:color="auto" w:fill="EBF5FB"/>
          </w:tcPr>
          <w:p>
            <w:pPr>
              <w:spacing w:before="40" w:after="40"/>
            </w:pPr>
            <w:r>
              <w:rPr>
                <w:sz w:val="17"/>
              </w:rPr>
              <w:t>W5–8</w:t>
            </w:r>
          </w:p>
        </w:tc>
        <w:tc>
          <w:tcPr>
            <w:tcW w:type="dxa" w:w="1560"/>
            <w:shd w:val="clear" w:color="auto" w:fill="EBF5FB"/>
          </w:tcPr>
          <w:p>
            <w:pPr>
              <w:spacing w:before="40" w:after="40"/>
            </w:pPr>
            <w:r>
              <w:rPr>
                <w:sz w:val="17"/>
              </w:rPr>
              <w:t>Activation</w:t>
            </w:r>
          </w:p>
        </w:tc>
        <w:tc>
          <w:tcPr>
            <w:tcW w:type="dxa" w:w="1560"/>
            <w:shd w:val="clear" w:color="auto" w:fill="EBF5FB"/>
          </w:tcPr>
          <w:p>
            <w:pPr>
              <w:spacing w:before="40" w:after="40"/>
            </w:pPr>
            <w:r>
              <w:rPr>
                <w:sz w:val="17"/>
              </w:rPr>
              <w:t>Referral</w:t>
            </w:r>
          </w:p>
        </w:tc>
        <w:tc>
          <w:tcPr>
            <w:tcW w:type="dxa" w:w="1560"/>
            <w:shd w:val="clear" w:color="auto" w:fill="EBF5FB"/>
          </w:tcPr>
          <w:p>
            <w:pPr>
              <w:spacing w:before="40" w:after="40"/>
            </w:pPr>
            <w:r>
              <w:rPr>
                <w:sz w:val="17"/>
              </w:rPr>
              <w:t>Give-not-earn referral mechanic live. WhatsApp share card for safety link built.</w:t>
            </w:r>
          </w:p>
        </w:tc>
        <w:tc>
          <w:tcPr>
            <w:tcW w:type="dxa" w:w="1560"/>
            <w:shd w:val="clear" w:color="auto" w:fill="EBF5FB"/>
          </w:tcPr>
          <w:p>
            <w:pPr>
              <w:spacing w:before="40" w:after="40"/>
            </w:pPr>
            <w:r>
              <w:rPr>
                <w:sz w:val="17"/>
              </w:rPr>
              <w:t>Growth Lead</w:t>
            </w:r>
          </w:p>
        </w:tc>
        <w:tc>
          <w:tcPr>
            <w:tcW w:type="dxa" w:w="1560"/>
            <w:shd w:val="clear" w:color="auto" w:fill="EBF5FB"/>
          </w:tcPr>
          <w:p>
            <w:pPr>
              <w:spacing w:before="40" w:after="40"/>
            </w:pPr>
            <w:r>
              <w:rPr>
                <w:sz w:val="17"/>
              </w:rPr>
              <w:t>Viral coefficient &gt;0.25 in first cohort</w:t>
            </w:r>
          </w:p>
        </w:tc>
      </w:tr>
      <w:tr>
        <w:tc>
          <w:tcPr>
            <w:tcW w:type="dxa" w:w="1560"/>
            <w:shd w:val="clear" w:color="auto" w:fill="FDFEFE"/>
          </w:tcPr>
          <w:p>
            <w:pPr>
              <w:spacing w:before="40" w:after="40"/>
            </w:pPr>
            <w:r>
              <w:rPr>
                <w:sz w:val="17"/>
              </w:rPr>
              <w:t>W8–10</w:t>
            </w:r>
          </w:p>
        </w:tc>
        <w:tc>
          <w:tcPr>
            <w:tcW w:type="dxa" w:w="1560"/>
            <w:shd w:val="clear" w:color="auto" w:fill="FDFEFE"/>
          </w:tcPr>
          <w:p>
            <w:pPr>
              <w:spacing w:before="40" w:after="40"/>
            </w:pPr>
            <w:r>
              <w:rPr>
                <w:sz w:val="17"/>
              </w:rPr>
              <w:t>Optimization</w:t>
            </w:r>
          </w:p>
        </w:tc>
        <w:tc>
          <w:tcPr>
            <w:tcW w:type="dxa" w:w="1560"/>
            <w:shd w:val="clear" w:color="auto" w:fill="FDFEFE"/>
          </w:tcPr>
          <w:p>
            <w:pPr>
              <w:spacing w:before="40" w:after="40"/>
            </w:pPr>
            <w:r>
              <w:rPr>
                <w:sz w:val="17"/>
              </w:rPr>
              <w:t>Analytics</w:t>
            </w:r>
          </w:p>
        </w:tc>
        <w:tc>
          <w:tcPr>
            <w:tcW w:type="dxa" w:w="1560"/>
            <w:shd w:val="clear" w:color="auto" w:fill="FDFEFE"/>
          </w:tcPr>
          <w:p>
            <w:pPr>
              <w:spacing w:before="40" w:after="40"/>
            </w:pPr>
            <w:r>
              <w:rPr>
                <w:sz w:val="17"/>
              </w:rPr>
              <w:t>KPI dashboard live: CAC by channel, LTV by tier, churn by cohort, NPS.</w:t>
            </w:r>
          </w:p>
        </w:tc>
        <w:tc>
          <w:tcPr>
            <w:tcW w:type="dxa" w:w="1560"/>
            <w:shd w:val="clear" w:color="auto" w:fill="FDFEFE"/>
          </w:tcPr>
          <w:p>
            <w:pPr>
              <w:spacing w:before="40" w:after="40"/>
            </w:pPr>
            <w:r>
              <w:rPr>
                <w:sz w:val="17"/>
              </w:rPr>
              <w:t>Analytics</w:t>
            </w:r>
          </w:p>
        </w:tc>
        <w:tc>
          <w:tcPr>
            <w:tcW w:type="dxa" w:w="1560"/>
            <w:shd w:val="clear" w:color="auto" w:fill="FDFEFE"/>
          </w:tcPr>
          <w:p>
            <w:pPr>
              <w:spacing w:before="40" w:after="40"/>
            </w:pPr>
            <w:r>
              <w:rPr>
                <w:sz w:val="17"/>
              </w:rPr>
              <w:t>Dashboard populated with M1–M2 actual data</w:t>
            </w:r>
          </w:p>
        </w:tc>
      </w:tr>
      <w:tr>
        <w:tc>
          <w:tcPr>
            <w:tcW w:type="dxa" w:w="1560"/>
            <w:shd w:val="clear" w:color="auto" w:fill="EBF5FB"/>
          </w:tcPr>
          <w:p>
            <w:pPr>
              <w:spacing w:before="40" w:after="40"/>
            </w:pPr>
            <w:r>
              <w:rPr>
                <w:sz w:val="17"/>
              </w:rPr>
              <w:t>W10–12</w:t>
            </w:r>
          </w:p>
        </w:tc>
        <w:tc>
          <w:tcPr>
            <w:tcW w:type="dxa" w:w="1560"/>
            <w:shd w:val="clear" w:color="auto" w:fill="EBF5FB"/>
          </w:tcPr>
          <w:p>
            <w:pPr>
              <w:spacing w:before="40" w:after="40"/>
            </w:pPr>
            <w:r>
              <w:rPr>
                <w:sz w:val="17"/>
              </w:rPr>
              <w:t>Optimization</w:t>
            </w:r>
          </w:p>
        </w:tc>
        <w:tc>
          <w:tcPr>
            <w:tcW w:type="dxa" w:w="1560"/>
            <w:shd w:val="clear" w:color="auto" w:fill="EBF5FB"/>
          </w:tcPr>
          <w:p>
            <w:pPr>
              <w:spacing w:before="40" w:after="40"/>
            </w:pPr>
            <w:r>
              <w:rPr>
                <w:sz w:val="17"/>
              </w:rPr>
              <w:t>Pricing</w:t>
            </w:r>
          </w:p>
        </w:tc>
        <w:tc>
          <w:tcPr>
            <w:tcW w:type="dxa" w:w="1560"/>
            <w:shd w:val="clear" w:color="auto" w:fill="EBF5FB"/>
          </w:tcPr>
          <w:p>
            <w:pPr>
              <w:spacing w:before="40" w:after="40"/>
            </w:pPr>
            <w:r>
              <w:rPr>
                <w:sz w:val="17"/>
              </w:rPr>
              <w:t>Subscription tier A/B test results analyzed. Charm pricing (JD 4.99 vs. JD 5.00) validated.</w:t>
            </w:r>
          </w:p>
        </w:tc>
        <w:tc>
          <w:tcPr>
            <w:tcW w:type="dxa" w:w="1560"/>
            <w:shd w:val="clear" w:color="auto" w:fill="EBF5FB"/>
          </w:tcPr>
          <w:p>
            <w:pPr>
              <w:spacing w:before="40" w:after="40"/>
            </w:pPr>
            <w:r>
              <w:rPr>
                <w:sz w:val="17"/>
              </w:rPr>
              <w:t>Product + Finance</w:t>
            </w:r>
          </w:p>
        </w:tc>
        <w:tc>
          <w:tcPr>
            <w:tcW w:type="dxa" w:w="1560"/>
            <w:shd w:val="clear" w:color="auto" w:fill="EBF5FB"/>
          </w:tcPr>
          <w:p>
            <w:pPr>
              <w:spacing w:before="40" w:after="40"/>
            </w:pPr>
            <w:r>
              <w:rPr>
                <w:sz w:val="17"/>
              </w:rPr>
              <w:t>Optimal pricing confirmed, model updated</w:t>
            </w:r>
          </w:p>
        </w:tc>
      </w:tr>
      <w:tr>
        <w:tc>
          <w:tcPr>
            <w:tcW w:type="dxa" w:w="1560"/>
            <w:shd w:val="clear" w:color="auto" w:fill="FDFEFE"/>
          </w:tcPr>
          <w:p>
            <w:pPr>
              <w:spacing w:before="40" w:after="40"/>
            </w:pPr>
            <w:r>
              <w:rPr>
                <w:sz w:val="17"/>
              </w:rPr>
              <w:t>W10–12</w:t>
            </w:r>
          </w:p>
        </w:tc>
        <w:tc>
          <w:tcPr>
            <w:tcW w:type="dxa" w:w="1560"/>
            <w:shd w:val="clear" w:color="auto" w:fill="FDFEFE"/>
          </w:tcPr>
          <w:p>
            <w:pPr>
              <w:spacing w:before="40" w:after="40"/>
            </w:pPr>
            <w:r>
              <w:rPr>
                <w:sz w:val="17"/>
              </w:rPr>
              <w:t>Optimization</w:t>
            </w:r>
          </w:p>
        </w:tc>
        <w:tc>
          <w:tcPr>
            <w:tcW w:type="dxa" w:w="1560"/>
            <w:shd w:val="clear" w:color="auto" w:fill="FDFEFE"/>
          </w:tcPr>
          <w:p>
            <w:pPr>
              <w:spacing w:before="40" w:after="40"/>
            </w:pPr>
            <w:r>
              <w:rPr>
                <w:sz w:val="17"/>
              </w:rPr>
              <w:t>Cash Bridge</w:t>
            </w:r>
          </w:p>
        </w:tc>
        <w:tc>
          <w:tcPr>
            <w:tcW w:type="dxa" w:w="1560"/>
            <w:shd w:val="clear" w:color="auto" w:fill="FDFEFE"/>
          </w:tcPr>
          <w:p>
            <w:pPr>
              <w:spacing w:before="40" w:after="40"/>
            </w:pPr>
            <w:r>
              <w:rPr>
                <w:sz w:val="17"/>
              </w:rPr>
              <w:t>Cash agent network: 10 petrol stations + 5 pharmacies onboarded for wallet top-up.</w:t>
            </w:r>
          </w:p>
        </w:tc>
        <w:tc>
          <w:tcPr>
            <w:tcW w:type="dxa" w:w="1560"/>
            <w:shd w:val="clear" w:color="auto" w:fill="FDFEFE"/>
          </w:tcPr>
          <w:p>
            <w:pPr>
              <w:spacing w:before="40" w:after="40"/>
            </w:pPr>
            <w:r>
              <w:rPr>
                <w:sz w:val="17"/>
              </w:rPr>
              <w:t>Ops Lead</w:t>
            </w:r>
          </w:p>
        </w:tc>
        <w:tc>
          <w:tcPr>
            <w:tcW w:type="dxa" w:w="1560"/>
            <w:shd w:val="clear" w:color="auto" w:fill="FDFEFE"/>
          </w:tcPr>
          <w:p>
            <w:pPr>
              <w:spacing w:before="40" w:after="40"/>
            </w:pPr>
            <w:r>
              <w:rPr>
                <w:sz w:val="17"/>
              </w:rPr>
              <w:t>Cash top-up available in 15 locations</w:t>
            </w:r>
          </w:p>
        </w:tc>
      </w:tr>
    </w:tbl>
    <w:p/>
    <w:p>
      <w:pPr>
        <w:spacing w:before="320" w:after="80"/>
      </w:pPr>
      <w:r>
        <w:rPr>
          <w:b/>
          <w:color w:val="0D1B2A"/>
          <w:sz w:val="28"/>
        </w:rPr>
        <w:t>6.2  6-Month Optimization Phase (M3–M8)</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pPr>
              <w:jc w:val="center"/>
            </w:pPr>
            <w:r>
              <w:rPr>
                <w:b/>
                <w:color w:val="FFFFFF"/>
                <w:sz w:val="19"/>
              </w:rPr>
              <w:t>Month</w:t>
            </w:r>
          </w:p>
        </w:tc>
        <w:tc>
          <w:tcPr>
            <w:tcW w:type="dxa" w:w="2340"/>
            <w:shd w:val="clear" w:color="auto" w:fill="1A5376"/>
          </w:tcPr>
          <w:p>
            <w:pPr>
              <w:jc w:val="center"/>
            </w:pPr>
            <w:r>
              <w:rPr>
                <w:b/>
                <w:color w:val="FFFFFF"/>
                <w:sz w:val="19"/>
              </w:rPr>
              <w:t>Focus</w:t>
            </w:r>
          </w:p>
        </w:tc>
        <w:tc>
          <w:tcPr>
            <w:tcW w:type="dxa" w:w="2340"/>
            <w:shd w:val="clear" w:color="auto" w:fill="1A5376"/>
          </w:tcPr>
          <w:p>
            <w:pPr>
              <w:jc w:val="center"/>
            </w:pPr>
            <w:r>
              <w:rPr>
                <w:b/>
                <w:color w:val="FFFFFF"/>
                <w:sz w:val="19"/>
              </w:rPr>
              <w:t>Key Initiatives</w:t>
            </w:r>
          </w:p>
        </w:tc>
        <w:tc>
          <w:tcPr>
            <w:tcW w:type="dxa" w:w="2340"/>
            <w:shd w:val="clear" w:color="auto" w:fill="1A5376"/>
          </w:tcPr>
          <w:p>
            <w:pPr>
              <w:jc w:val="center"/>
            </w:pPr>
            <w:r>
              <w:rPr>
                <w:b/>
                <w:color w:val="FFFFFF"/>
                <w:sz w:val="19"/>
              </w:rPr>
              <w:t>Target Metrics</w:t>
            </w:r>
          </w:p>
        </w:tc>
      </w:tr>
      <w:tr>
        <w:tc>
          <w:tcPr>
            <w:tcW w:type="dxa" w:w="2340"/>
            <w:shd w:val="clear" w:color="auto" w:fill="EBF5FB"/>
          </w:tcPr>
          <w:p>
            <w:pPr>
              <w:spacing w:before="40" w:after="40"/>
            </w:pPr>
            <w:r>
              <w:rPr>
                <w:sz w:val="18"/>
              </w:rPr>
              <w:t>M3</w:t>
            </w:r>
          </w:p>
        </w:tc>
        <w:tc>
          <w:tcPr>
            <w:tcW w:type="dxa" w:w="2340"/>
            <w:shd w:val="clear" w:color="auto" w:fill="EBF5FB"/>
          </w:tcPr>
          <w:p>
            <w:pPr>
              <w:spacing w:before="40" w:after="40"/>
            </w:pPr>
            <w:r>
              <w:rPr>
                <w:sz w:val="18"/>
              </w:rPr>
              <w:t>Subscription Flywheel</w:t>
            </w:r>
          </w:p>
        </w:tc>
        <w:tc>
          <w:tcPr>
            <w:tcW w:type="dxa" w:w="2340"/>
            <w:shd w:val="clear" w:color="auto" w:fill="EBF5FB"/>
          </w:tcPr>
          <w:p>
            <w:pPr>
              <w:spacing w:before="40" w:after="40"/>
            </w:pPr>
            <w:r>
              <w:rPr>
                <w:sz w:val="18"/>
              </w:rPr>
              <w:t>Launch Go tier push. University connector results in. First corporate account signed. Wasel VIP tier soft-launched to top 50 riders.</w:t>
            </w:r>
          </w:p>
        </w:tc>
        <w:tc>
          <w:tcPr>
            <w:tcW w:type="dxa" w:w="2340"/>
            <w:shd w:val="clear" w:color="auto" w:fill="EBF5FB"/>
          </w:tcPr>
          <w:p>
            <w:pPr>
              <w:spacing w:before="40" w:after="40"/>
            </w:pPr>
            <w:r>
              <w:rPr>
                <w:sz w:val="18"/>
              </w:rPr>
              <w:t>25% of M2+ active riders converted to paid tier. 5 corporate accounts. CAC &lt;JD 1.80.</w:t>
            </w:r>
          </w:p>
        </w:tc>
      </w:tr>
      <w:tr>
        <w:tc>
          <w:tcPr>
            <w:tcW w:type="dxa" w:w="2340"/>
            <w:shd w:val="clear" w:color="auto" w:fill="FDFEFE"/>
          </w:tcPr>
          <w:p>
            <w:pPr>
              <w:spacing w:before="40" w:after="40"/>
            </w:pPr>
            <w:r>
              <w:rPr>
                <w:sz w:val="18"/>
              </w:rPr>
              <w:t>M4</w:t>
            </w:r>
          </w:p>
        </w:tc>
        <w:tc>
          <w:tcPr>
            <w:tcW w:type="dxa" w:w="2340"/>
            <w:shd w:val="clear" w:color="auto" w:fill="FDFEFE"/>
          </w:tcPr>
          <w:p>
            <w:pPr>
              <w:spacing w:before="40" w:after="40"/>
            </w:pPr>
            <w:r>
              <w:rPr>
                <w:sz w:val="18"/>
              </w:rPr>
              <w:t>Cash Bridge + Female Market</w:t>
            </w:r>
          </w:p>
        </w:tc>
        <w:tc>
          <w:tcPr>
            <w:tcW w:type="dxa" w:w="2340"/>
            <w:shd w:val="clear" w:color="auto" w:fill="FDFEFE"/>
          </w:tcPr>
          <w:p>
            <w:pPr>
              <w:spacing w:before="40" w:after="40"/>
            </w:pPr>
            <w:r>
              <w:rPr>
                <w:sz w:val="18"/>
              </w:rPr>
              <w:t>Cash agent network to 25 locations. WASEL SAFE TRIP™ featured in female-focused channels. Preferred driver system live.</w:t>
            </w:r>
          </w:p>
        </w:tc>
        <w:tc>
          <w:tcPr>
            <w:tcW w:type="dxa" w:w="2340"/>
            <w:shd w:val="clear" w:color="auto" w:fill="FDFEFE"/>
          </w:tcPr>
          <w:p>
            <w:pPr>
              <w:spacing w:before="40" w:after="40"/>
            </w:pPr>
            <w:r>
              <w:rPr>
                <w:sz w:val="18"/>
              </w:rPr>
              <w:t>8,000 cash wallet top-ups. Female rider share &gt;35% of new M4 registrations. 500 preferred driver pins.</w:t>
            </w:r>
          </w:p>
        </w:tc>
      </w:tr>
      <w:tr>
        <w:tc>
          <w:tcPr>
            <w:tcW w:type="dxa" w:w="2340"/>
            <w:shd w:val="clear" w:color="auto" w:fill="EBF5FB"/>
          </w:tcPr>
          <w:p>
            <w:pPr>
              <w:spacing w:before="40" w:after="40"/>
            </w:pPr>
            <w:r>
              <w:rPr>
                <w:sz w:val="18"/>
              </w:rPr>
              <w:t>M5</w:t>
            </w:r>
          </w:p>
        </w:tc>
        <w:tc>
          <w:tcPr>
            <w:tcW w:type="dxa" w:w="2340"/>
            <w:shd w:val="clear" w:color="auto" w:fill="EBF5FB"/>
          </w:tcPr>
          <w:p>
            <w:pPr>
              <w:spacing w:before="40" w:after="40"/>
            </w:pPr>
            <w:r>
              <w:rPr>
                <w:sz w:val="18"/>
              </w:rPr>
              <w:t>Referral Acceleration</w:t>
            </w:r>
          </w:p>
        </w:tc>
        <w:tc>
          <w:tcPr>
            <w:tcW w:type="dxa" w:w="2340"/>
            <w:shd w:val="clear" w:color="auto" w:fill="EBF5FB"/>
          </w:tcPr>
          <w:p>
            <w:pPr>
              <w:spacing w:before="40" w:after="40"/>
            </w:pPr>
            <w:r>
              <w:rPr>
                <w:sz w:val="18"/>
              </w:rPr>
              <w:t>Streak mechanics live. Milestone share cards deployed on WhatsApp. Driver cross-referral optimized with real data.</w:t>
            </w:r>
          </w:p>
        </w:tc>
        <w:tc>
          <w:tcPr>
            <w:tcW w:type="dxa" w:w="2340"/>
            <w:shd w:val="clear" w:color="auto" w:fill="EBF5FB"/>
          </w:tcPr>
          <w:p>
            <w:pPr>
              <w:spacing w:before="40" w:after="40"/>
            </w:pPr>
            <w:r>
              <w:rPr>
                <w:sz w:val="18"/>
              </w:rPr>
              <w:t>Viral coefficient &gt;0.40. 30% of new riders from referral. Streak engagement rate &gt;45% of active riders.</w:t>
            </w:r>
          </w:p>
        </w:tc>
      </w:tr>
      <w:tr>
        <w:tc>
          <w:tcPr>
            <w:tcW w:type="dxa" w:w="2340"/>
            <w:shd w:val="clear" w:color="auto" w:fill="FDFEFE"/>
          </w:tcPr>
          <w:p>
            <w:pPr>
              <w:spacing w:before="40" w:after="40"/>
            </w:pPr>
            <w:r>
              <w:rPr>
                <w:sz w:val="18"/>
              </w:rPr>
              <w:t>M6</w:t>
            </w:r>
          </w:p>
        </w:tc>
        <w:tc>
          <w:tcPr>
            <w:tcW w:type="dxa" w:w="2340"/>
            <w:shd w:val="clear" w:color="auto" w:fill="FDFEFE"/>
          </w:tcPr>
          <w:p>
            <w:pPr>
              <w:spacing w:before="40" w:after="40"/>
            </w:pPr>
            <w:r>
              <w:rPr>
                <w:sz w:val="18"/>
              </w:rPr>
              <w:t>Retention Hardening</w:t>
            </w:r>
          </w:p>
        </w:tc>
        <w:tc>
          <w:tcPr>
            <w:tcW w:type="dxa" w:w="2340"/>
            <w:shd w:val="clear" w:color="auto" w:fill="FDFEFE"/>
          </w:tcPr>
          <w:p>
            <w:pPr>
              <w:spacing w:before="40" w:after="40"/>
            </w:pPr>
            <w:r>
              <w:rPr>
                <w:sz w:val="18"/>
              </w:rPr>
              <w:t>Wasel VIP tier fully public. Portfolio feature (trip history + savings summary) prominent in app. First monthly Rider Fairness Report insert.</w:t>
            </w:r>
          </w:p>
        </w:tc>
        <w:tc>
          <w:tcPr>
            <w:tcW w:type="dxa" w:w="2340"/>
            <w:shd w:val="clear" w:color="auto" w:fill="FDFEFE"/>
          </w:tcPr>
          <w:p>
            <w:pPr>
              <w:spacing w:before="40" w:after="40"/>
            </w:pPr>
            <w:r>
              <w:rPr>
                <w:sz w:val="18"/>
              </w:rPr>
              <w:t>Pass churn &lt;4%/mo. Go churn &lt;7%/mo. NPS &gt;60. 20 corporate accounts.</w:t>
            </w:r>
          </w:p>
        </w:tc>
      </w:tr>
      <w:tr>
        <w:tc>
          <w:tcPr>
            <w:tcW w:type="dxa" w:w="2340"/>
            <w:shd w:val="clear" w:color="auto" w:fill="EBF5FB"/>
          </w:tcPr>
          <w:p>
            <w:pPr>
              <w:spacing w:before="40" w:after="40"/>
            </w:pPr>
            <w:r>
              <w:rPr>
                <w:sz w:val="18"/>
              </w:rPr>
              <w:t>M7</w:t>
            </w:r>
          </w:p>
        </w:tc>
        <w:tc>
          <w:tcPr>
            <w:tcW w:type="dxa" w:w="2340"/>
            <w:shd w:val="clear" w:color="auto" w:fill="EBF5FB"/>
          </w:tcPr>
          <w:p>
            <w:pPr>
              <w:spacing w:before="40" w:after="40"/>
            </w:pPr>
            <w:r>
              <w:rPr>
                <w:sz w:val="18"/>
              </w:rPr>
              <w:t>Public Launch Scale</w:t>
            </w:r>
          </w:p>
        </w:tc>
        <w:tc>
          <w:tcPr>
            <w:tcW w:type="dxa" w:w="2340"/>
            <w:shd w:val="clear" w:color="auto" w:fill="EBF5FB"/>
          </w:tcPr>
          <w:p>
            <w:pPr>
              <w:spacing w:before="40" w:after="40"/>
            </w:pPr>
            <w:r>
              <w:rPr>
                <w:sz w:val="18"/>
              </w:rPr>
              <w:t>Paid digital campaigns live (lookalike only). OOH select placements (university campuses, major roundabouts). PR push aligned with Fairness Report M6.</w:t>
            </w:r>
          </w:p>
        </w:tc>
        <w:tc>
          <w:tcPr>
            <w:tcW w:type="dxa" w:w="2340"/>
            <w:shd w:val="clear" w:color="auto" w:fill="EBF5FB"/>
          </w:tcPr>
          <w:p>
            <w:pPr>
              <w:spacing w:before="40" w:after="40"/>
            </w:pPr>
            <w:r>
              <w:rPr>
                <w:sz w:val="18"/>
              </w:rPr>
              <w:t>Active riders &gt;16,568 (M6 target). Blended CAC &lt;JD 1.60. Subscription revenue &gt;JD 16,527.</w:t>
            </w:r>
          </w:p>
        </w:tc>
      </w:tr>
      <w:tr>
        <w:tc>
          <w:tcPr>
            <w:tcW w:type="dxa" w:w="2340"/>
            <w:shd w:val="clear" w:color="auto" w:fill="FDFEFE"/>
          </w:tcPr>
          <w:p>
            <w:pPr>
              <w:spacing w:before="40" w:after="40"/>
            </w:pPr>
            <w:r>
              <w:rPr>
                <w:sz w:val="18"/>
              </w:rPr>
              <w:t>M8</w:t>
            </w:r>
          </w:p>
        </w:tc>
        <w:tc>
          <w:tcPr>
            <w:tcW w:type="dxa" w:w="2340"/>
            <w:shd w:val="clear" w:color="auto" w:fill="FDFEFE"/>
          </w:tcPr>
          <w:p>
            <w:pPr>
              <w:spacing w:before="40" w:after="40"/>
            </w:pPr>
            <w:r>
              <w:rPr>
                <w:sz w:val="18"/>
              </w:rPr>
              <w:t>Data-Driven Iteration</w:t>
            </w:r>
          </w:p>
        </w:tc>
        <w:tc>
          <w:tcPr>
            <w:tcW w:type="dxa" w:w="2340"/>
            <w:shd w:val="clear" w:color="auto" w:fill="FDFEFE"/>
          </w:tcPr>
          <w:p>
            <w:pPr>
              <w:spacing w:before="40" w:after="40"/>
            </w:pPr>
            <w:r>
              <w:rPr>
                <w:sz w:val="18"/>
              </w:rPr>
              <w:t>A/B test results from all pricing experiments consolidated. CAC by channel renegotiated. Cohort LTV vs. projection: variance analysis. Series A narrative draft.</w:t>
            </w:r>
          </w:p>
        </w:tc>
        <w:tc>
          <w:tcPr>
            <w:tcW w:type="dxa" w:w="2340"/>
            <w:shd w:val="clear" w:color="auto" w:fill="FDFEFE"/>
          </w:tcPr>
          <w:p>
            <w:pPr>
              <w:spacing w:before="40" w:after="40"/>
            </w:pPr>
            <w:r>
              <w:rPr>
                <w:sz w:val="18"/>
              </w:rPr>
              <w:t>LTV/CAC &gt;60×. Subscriber mix: 12% Go, 7% Pass, 2% VIP. Monthly churn &lt;5% blended.</w:t>
            </w:r>
          </w:p>
        </w:tc>
      </w:tr>
    </w:tbl>
    <w:p/>
    <w:p>
      <w:pPr>
        <w:spacing w:before="320" w:after="80"/>
      </w:pPr>
      <w:r>
        <w:rPr>
          <w:b/>
          <w:color w:val="0D1B2A"/>
          <w:sz w:val="28"/>
        </w:rPr>
        <w:t>6.3  KPI Dashboard — Rider-Specific</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0D1B2A"/>
          </w:tcPr>
          <w:p>
            <w:pPr>
              <w:jc w:val="center"/>
            </w:pPr>
            <w:r>
              <w:rPr>
                <w:b/>
                <w:color w:val="FFFFFF"/>
                <w:sz w:val="19"/>
              </w:rPr>
              <w:t>KPI</w:t>
            </w:r>
          </w:p>
        </w:tc>
        <w:tc>
          <w:tcPr>
            <w:tcW w:type="dxa" w:w="1560"/>
            <w:shd w:val="clear" w:color="auto" w:fill="0D1B2A"/>
          </w:tcPr>
          <w:p>
            <w:pPr>
              <w:jc w:val="center"/>
            </w:pPr>
            <w:r>
              <w:rPr>
                <w:b/>
                <w:color w:val="FFFFFF"/>
                <w:sz w:val="19"/>
              </w:rPr>
              <w:t>Definition</w:t>
            </w:r>
          </w:p>
        </w:tc>
        <w:tc>
          <w:tcPr>
            <w:tcW w:type="dxa" w:w="1560"/>
            <w:shd w:val="clear" w:color="auto" w:fill="0D1B2A"/>
          </w:tcPr>
          <w:p>
            <w:pPr>
              <w:jc w:val="center"/>
            </w:pPr>
            <w:r>
              <w:rPr>
                <w:b/>
                <w:color w:val="FFFFFF"/>
                <w:sz w:val="19"/>
              </w:rPr>
              <w:t>Tracking Cadence</w:t>
            </w:r>
          </w:p>
        </w:tc>
        <w:tc>
          <w:tcPr>
            <w:tcW w:type="dxa" w:w="1560"/>
            <w:shd w:val="clear" w:color="auto" w:fill="0D1B2A"/>
          </w:tcPr>
          <w:p>
            <w:pPr>
              <w:jc w:val="center"/>
            </w:pPr>
            <w:r>
              <w:rPr>
                <w:b/>
                <w:color w:val="FFFFFF"/>
                <w:sz w:val="19"/>
              </w:rPr>
              <w:t>M3 Target</w:t>
            </w:r>
          </w:p>
        </w:tc>
        <w:tc>
          <w:tcPr>
            <w:tcW w:type="dxa" w:w="1560"/>
            <w:shd w:val="clear" w:color="auto" w:fill="0D1B2A"/>
          </w:tcPr>
          <w:p>
            <w:pPr>
              <w:jc w:val="center"/>
            </w:pPr>
            <w:r>
              <w:rPr>
                <w:b/>
                <w:color w:val="FFFFFF"/>
                <w:sz w:val="19"/>
              </w:rPr>
              <w:t>M6 Target</w:t>
            </w:r>
          </w:p>
        </w:tc>
        <w:tc>
          <w:tcPr>
            <w:tcW w:type="dxa" w:w="1560"/>
            <w:shd w:val="clear" w:color="auto" w:fill="0D1B2A"/>
          </w:tcPr>
          <w:p>
            <w:pPr>
              <w:jc w:val="center"/>
            </w:pPr>
            <w:r>
              <w:rPr>
                <w:b/>
                <w:color w:val="FFFFFF"/>
                <w:sz w:val="19"/>
              </w:rPr>
              <w:t>M12 Target</w:t>
            </w:r>
          </w:p>
        </w:tc>
      </w:tr>
      <w:tr>
        <w:tc>
          <w:tcPr>
            <w:tcW w:type="dxa" w:w="1560"/>
            <w:shd w:val="clear" w:color="auto" w:fill="EBF5FB"/>
          </w:tcPr>
          <w:p>
            <w:pPr>
              <w:spacing w:before="40" w:after="40"/>
            </w:pPr>
            <w:r>
              <w:rPr>
                <w:sz w:val="17"/>
              </w:rPr>
              <w:t>Active Riders (EoM)</w:t>
            </w:r>
          </w:p>
        </w:tc>
        <w:tc>
          <w:tcPr>
            <w:tcW w:type="dxa" w:w="1560"/>
            <w:shd w:val="clear" w:color="auto" w:fill="EBF5FB"/>
          </w:tcPr>
          <w:p>
            <w:pPr>
              <w:spacing w:before="40" w:after="40"/>
            </w:pPr>
            <w:r>
              <w:rPr>
                <w:sz w:val="17"/>
              </w:rPr>
              <w:t>Riders with ≥1 completed trip in last 30 days</w:t>
            </w:r>
          </w:p>
        </w:tc>
        <w:tc>
          <w:tcPr>
            <w:tcW w:type="dxa" w:w="1560"/>
            <w:shd w:val="clear" w:color="auto" w:fill="EBF5FB"/>
          </w:tcPr>
          <w:p>
            <w:pPr>
              <w:spacing w:before="40" w:after="40"/>
            </w:pPr>
            <w:r>
              <w:rPr>
                <w:sz w:val="17"/>
              </w:rPr>
              <w:t>Weekly</w:t>
            </w:r>
          </w:p>
        </w:tc>
        <w:tc>
          <w:tcPr>
            <w:tcW w:type="dxa" w:w="1560"/>
            <w:shd w:val="clear" w:color="auto" w:fill="EBF5FB"/>
          </w:tcPr>
          <w:p>
            <w:pPr>
              <w:spacing w:before="40" w:after="40"/>
            </w:pPr>
            <w:r>
              <w:rPr>
                <w:sz w:val="17"/>
              </w:rPr>
              <w:t>7,680</w:t>
            </w:r>
          </w:p>
        </w:tc>
        <w:tc>
          <w:tcPr>
            <w:tcW w:type="dxa" w:w="1560"/>
            <w:shd w:val="clear" w:color="auto" w:fill="EBF5FB"/>
          </w:tcPr>
          <w:p>
            <w:pPr>
              <w:spacing w:before="40" w:after="40"/>
            </w:pPr>
            <w:r>
              <w:rPr>
                <w:sz w:val="17"/>
              </w:rPr>
              <w:t>16,568</w:t>
            </w:r>
          </w:p>
        </w:tc>
        <w:tc>
          <w:tcPr>
            <w:tcW w:type="dxa" w:w="1560"/>
            <w:shd w:val="clear" w:color="auto" w:fill="EBF5FB"/>
          </w:tcPr>
          <w:p>
            <w:pPr>
              <w:spacing w:before="40" w:after="40"/>
            </w:pPr>
            <w:r>
              <w:rPr>
                <w:sz w:val="17"/>
              </w:rPr>
              <w:t>27,684+</w:t>
            </w:r>
          </w:p>
        </w:tc>
      </w:tr>
      <w:tr>
        <w:tc>
          <w:tcPr>
            <w:tcW w:type="dxa" w:w="1560"/>
            <w:shd w:val="clear" w:color="auto" w:fill="FDFEFE"/>
          </w:tcPr>
          <w:p>
            <w:pPr>
              <w:spacing w:before="40" w:after="40"/>
            </w:pPr>
            <w:r>
              <w:rPr>
                <w:sz w:val="17"/>
              </w:rPr>
              <w:t>Blended Rider ARPU (JOD)</w:t>
            </w:r>
          </w:p>
        </w:tc>
        <w:tc>
          <w:tcPr>
            <w:tcW w:type="dxa" w:w="1560"/>
            <w:shd w:val="clear" w:color="auto" w:fill="FDFEFE"/>
          </w:tcPr>
          <w:p>
            <w:pPr>
              <w:spacing w:before="40" w:after="40"/>
            </w:pPr>
            <w:r>
              <w:rPr>
                <w:sz w:val="17"/>
              </w:rPr>
              <w:t>Total rider subscription revenue ÷ paying subscribers</w:t>
            </w:r>
          </w:p>
        </w:tc>
        <w:tc>
          <w:tcPr>
            <w:tcW w:type="dxa" w:w="1560"/>
            <w:shd w:val="clear" w:color="auto" w:fill="FDFEFE"/>
          </w:tcPr>
          <w:p>
            <w:pPr>
              <w:spacing w:before="40" w:after="40"/>
            </w:pPr>
            <w:r>
              <w:rPr>
                <w:sz w:val="17"/>
              </w:rPr>
              <w:t>Monthly</w:t>
            </w:r>
          </w:p>
        </w:tc>
        <w:tc>
          <w:tcPr>
            <w:tcW w:type="dxa" w:w="1560"/>
            <w:shd w:val="clear" w:color="auto" w:fill="FDFEFE"/>
          </w:tcPr>
          <w:p>
            <w:pPr>
              <w:spacing w:before="40" w:after="40"/>
            </w:pPr>
            <w:r>
              <w:rPr>
                <w:sz w:val="17"/>
              </w:rPr>
              <w:t>JD 5.20</w:t>
            </w:r>
          </w:p>
        </w:tc>
        <w:tc>
          <w:tcPr>
            <w:tcW w:type="dxa" w:w="1560"/>
            <w:shd w:val="clear" w:color="auto" w:fill="FDFEFE"/>
          </w:tcPr>
          <w:p>
            <w:pPr>
              <w:spacing w:before="40" w:after="40"/>
            </w:pPr>
            <w:r>
              <w:rPr>
                <w:sz w:val="17"/>
              </w:rPr>
              <w:t>JD 6.40</w:t>
            </w:r>
          </w:p>
        </w:tc>
        <w:tc>
          <w:tcPr>
            <w:tcW w:type="dxa" w:w="1560"/>
            <w:shd w:val="clear" w:color="auto" w:fill="FDFEFE"/>
          </w:tcPr>
          <w:p>
            <w:pPr>
              <w:spacing w:before="40" w:after="40"/>
            </w:pPr>
            <w:r>
              <w:rPr>
                <w:sz w:val="17"/>
              </w:rPr>
              <w:t>JD 7.80</w:t>
            </w:r>
          </w:p>
        </w:tc>
      </w:tr>
      <w:tr>
        <w:tc>
          <w:tcPr>
            <w:tcW w:type="dxa" w:w="1560"/>
            <w:shd w:val="clear" w:color="auto" w:fill="EBF5FB"/>
          </w:tcPr>
          <w:p>
            <w:pPr>
              <w:spacing w:before="40" w:after="40"/>
            </w:pPr>
            <w:r>
              <w:rPr>
                <w:sz w:val="17"/>
              </w:rPr>
              <w:t>Subscription Conversion Rate</w:t>
            </w:r>
          </w:p>
        </w:tc>
        <w:tc>
          <w:tcPr>
            <w:tcW w:type="dxa" w:w="1560"/>
            <w:shd w:val="clear" w:color="auto" w:fill="EBF5FB"/>
          </w:tcPr>
          <w:p>
            <w:pPr>
              <w:spacing w:before="40" w:after="40"/>
            </w:pPr>
            <w:r>
              <w:rPr>
                <w:sz w:val="17"/>
              </w:rPr>
              <w:t>% of Standard riders converting to paid tier within 30 days</w:t>
            </w:r>
          </w:p>
        </w:tc>
        <w:tc>
          <w:tcPr>
            <w:tcW w:type="dxa" w:w="1560"/>
            <w:shd w:val="clear" w:color="auto" w:fill="EBF5FB"/>
          </w:tcPr>
          <w:p>
            <w:pPr>
              <w:spacing w:before="40" w:after="40"/>
            </w:pPr>
            <w:r>
              <w:rPr>
                <w:sz w:val="17"/>
              </w:rPr>
              <w:t>Monthly</w:t>
            </w:r>
          </w:p>
        </w:tc>
        <w:tc>
          <w:tcPr>
            <w:tcW w:type="dxa" w:w="1560"/>
            <w:shd w:val="clear" w:color="auto" w:fill="EBF5FB"/>
          </w:tcPr>
          <w:p>
            <w:pPr>
              <w:spacing w:before="40" w:after="40"/>
            </w:pPr>
            <w:r>
              <w:rPr>
                <w:sz w:val="17"/>
              </w:rPr>
              <w:t>20%</w:t>
            </w:r>
          </w:p>
        </w:tc>
        <w:tc>
          <w:tcPr>
            <w:tcW w:type="dxa" w:w="1560"/>
            <w:shd w:val="clear" w:color="auto" w:fill="EBF5FB"/>
          </w:tcPr>
          <w:p>
            <w:pPr>
              <w:spacing w:before="40" w:after="40"/>
            </w:pPr>
            <w:r>
              <w:rPr>
                <w:sz w:val="17"/>
              </w:rPr>
              <w:t>27%</w:t>
            </w:r>
          </w:p>
        </w:tc>
        <w:tc>
          <w:tcPr>
            <w:tcW w:type="dxa" w:w="1560"/>
            <w:shd w:val="clear" w:color="auto" w:fill="EBF5FB"/>
          </w:tcPr>
          <w:p>
            <w:pPr>
              <w:spacing w:before="40" w:after="40"/>
            </w:pPr>
            <w:r>
              <w:rPr>
                <w:sz w:val="17"/>
              </w:rPr>
              <w:t>32%</w:t>
            </w:r>
          </w:p>
        </w:tc>
      </w:tr>
      <w:tr>
        <w:tc>
          <w:tcPr>
            <w:tcW w:type="dxa" w:w="1560"/>
            <w:shd w:val="clear" w:color="auto" w:fill="FDFEFE"/>
          </w:tcPr>
          <w:p>
            <w:pPr>
              <w:spacing w:before="40" w:after="40"/>
            </w:pPr>
            <w:r>
              <w:rPr>
                <w:sz w:val="17"/>
              </w:rPr>
              <w:t>Go Tier Churn (monthly)</w:t>
            </w:r>
          </w:p>
        </w:tc>
        <w:tc>
          <w:tcPr>
            <w:tcW w:type="dxa" w:w="1560"/>
            <w:shd w:val="clear" w:color="auto" w:fill="FDFEFE"/>
          </w:tcPr>
          <w:p>
            <w:pPr>
              <w:spacing w:before="40" w:after="40"/>
            </w:pPr>
            <w:r>
              <w:rPr>
                <w:sz w:val="17"/>
              </w:rPr>
              <w:t>% of Go subscribers cancelling in a given month</w:t>
            </w:r>
          </w:p>
        </w:tc>
        <w:tc>
          <w:tcPr>
            <w:tcW w:type="dxa" w:w="1560"/>
            <w:shd w:val="clear" w:color="auto" w:fill="FDFEFE"/>
          </w:tcPr>
          <w:p>
            <w:pPr>
              <w:spacing w:before="40" w:after="40"/>
            </w:pPr>
            <w:r>
              <w:rPr>
                <w:sz w:val="17"/>
              </w:rPr>
              <w:t>Monthly</w:t>
            </w:r>
          </w:p>
        </w:tc>
        <w:tc>
          <w:tcPr>
            <w:tcW w:type="dxa" w:w="1560"/>
            <w:shd w:val="clear" w:color="auto" w:fill="FDFEFE"/>
          </w:tcPr>
          <w:p>
            <w:pPr>
              <w:spacing w:before="40" w:after="40"/>
            </w:pPr>
            <w:r>
              <w:rPr>
                <w:sz w:val="17"/>
              </w:rPr>
              <w:t>&lt;10%</w:t>
            </w:r>
          </w:p>
        </w:tc>
        <w:tc>
          <w:tcPr>
            <w:tcW w:type="dxa" w:w="1560"/>
            <w:shd w:val="clear" w:color="auto" w:fill="FDFEFE"/>
          </w:tcPr>
          <w:p>
            <w:pPr>
              <w:spacing w:before="40" w:after="40"/>
            </w:pPr>
            <w:r>
              <w:rPr>
                <w:sz w:val="17"/>
              </w:rPr>
              <w:t>&lt;7%</w:t>
            </w:r>
          </w:p>
        </w:tc>
        <w:tc>
          <w:tcPr>
            <w:tcW w:type="dxa" w:w="1560"/>
            <w:shd w:val="clear" w:color="auto" w:fill="FDFEFE"/>
          </w:tcPr>
          <w:p>
            <w:pPr>
              <w:spacing w:before="40" w:after="40"/>
            </w:pPr>
            <w:r>
              <w:rPr>
                <w:sz w:val="17"/>
              </w:rPr>
              <w:t>&lt;5%</w:t>
            </w:r>
          </w:p>
        </w:tc>
      </w:tr>
      <w:tr>
        <w:tc>
          <w:tcPr>
            <w:tcW w:type="dxa" w:w="1560"/>
            <w:shd w:val="clear" w:color="auto" w:fill="EBF5FB"/>
          </w:tcPr>
          <w:p>
            <w:pPr>
              <w:spacing w:before="40" w:after="40"/>
            </w:pPr>
            <w:r>
              <w:rPr>
                <w:sz w:val="17"/>
              </w:rPr>
              <w:t>Pass Tier Churn (monthly)</w:t>
            </w:r>
          </w:p>
        </w:tc>
        <w:tc>
          <w:tcPr>
            <w:tcW w:type="dxa" w:w="1560"/>
            <w:shd w:val="clear" w:color="auto" w:fill="EBF5FB"/>
          </w:tcPr>
          <w:p>
            <w:pPr>
              <w:spacing w:before="40" w:after="40"/>
            </w:pPr>
            <w:r>
              <w:rPr>
                <w:sz w:val="17"/>
              </w:rPr>
              <w:t>% of Pass subscribers cancelling</w:t>
            </w:r>
          </w:p>
        </w:tc>
        <w:tc>
          <w:tcPr>
            <w:tcW w:type="dxa" w:w="1560"/>
            <w:shd w:val="clear" w:color="auto" w:fill="EBF5FB"/>
          </w:tcPr>
          <w:p>
            <w:pPr>
              <w:spacing w:before="40" w:after="40"/>
            </w:pPr>
            <w:r>
              <w:rPr>
                <w:sz w:val="17"/>
              </w:rPr>
              <w:t>Monthly</w:t>
            </w:r>
          </w:p>
        </w:tc>
        <w:tc>
          <w:tcPr>
            <w:tcW w:type="dxa" w:w="1560"/>
            <w:shd w:val="clear" w:color="auto" w:fill="EBF5FB"/>
          </w:tcPr>
          <w:p>
            <w:pPr>
              <w:spacing w:before="40" w:after="40"/>
            </w:pPr>
            <w:r>
              <w:rPr>
                <w:sz w:val="17"/>
              </w:rPr>
              <w:t>&lt;7%</w:t>
            </w:r>
          </w:p>
        </w:tc>
        <w:tc>
          <w:tcPr>
            <w:tcW w:type="dxa" w:w="1560"/>
            <w:shd w:val="clear" w:color="auto" w:fill="EBF5FB"/>
          </w:tcPr>
          <w:p>
            <w:pPr>
              <w:spacing w:before="40" w:after="40"/>
            </w:pPr>
            <w:r>
              <w:rPr>
                <w:sz w:val="17"/>
              </w:rPr>
              <w:t>&lt;4%</w:t>
            </w:r>
          </w:p>
        </w:tc>
        <w:tc>
          <w:tcPr>
            <w:tcW w:type="dxa" w:w="1560"/>
            <w:shd w:val="clear" w:color="auto" w:fill="EBF5FB"/>
          </w:tcPr>
          <w:p>
            <w:pPr>
              <w:spacing w:before="40" w:after="40"/>
            </w:pPr>
            <w:r>
              <w:rPr>
                <w:sz w:val="17"/>
              </w:rPr>
              <w:t>&lt;3%</w:t>
            </w:r>
          </w:p>
        </w:tc>
      </w:tr>
      <w:tr>
        <w:tc>
          <w:tcPr>
            <w:tcW w:type="dxa" w:w="1560"/>
            <w:shd w:val="clear" w:color="auto" w:fill="FDFEFE"/>
          </w:tcPr>
          <w:p>
            <w:pPr>
              <w:spacing w:before="40" w:after="40"/>
            </w:pPr>
            <w:r>
              <w:rPr>
                <w:sz w:val="17"/>
              </w:rPr>
              <w:t>Rider NPS</w:t>
            </w:r>
          </w:p>
        </w:tc>
        <w:tc>
          <w:tcPr>
            <w:tcW w:type="dxa" w:w="1560"/>
            <w:shd w:val="clear" w:color="auto" w:fill="FDFEFE"/>
          </w:tcPr>
          <w:p>
            <w:pPr>
              <w:spacing w:before="40" w:after="40"/>
            </w:pPr>
            <w:r>
              <w:rPr>
                <w:sz w:val="17"/>
              </w:rPr>
              <w:t>Net Promoter Score (drivers and riders surveyed separately)</w:t>
            </w:r>
          </w:p>
        </w:tc>
        <w:tc>
          <w:tcPr>
            <w:tcW w:type="dxa" w:w="1560"/>
            <w:shd w:val="clear" w:color="auto" w:fill="FDFEFE"/>
          </w:tcPr>
          <w:p>
            <w:pPr>
              <w:spacing w:before="40" w:after="40"/>
            </w:pPr>
            <w:r>
              <w:rPr>
                <w:sz w:val="17"/>
              </w:rPr>
              <w:t>Monthly</w:t>
            </w:r>
          </w:p>
        </w:tc>
        <w:tc>
          <w:tcPr>
            <w:tcW w:type="dxa" w:w="1560"/>
            <w:shd w:val="clear" w:color="auto" w:fill="FDFEFE"/>
          </w:tcPr>
          <w:p>
            <w:pPr>
              <w:spacing w:before="40" w:after="40"/>
            </w:pPr>
            <w:r>
              <w:rPr>
                <w:sz w:val="17"/>
              </w:rPr>
              <w:t>&gt;45</w:t>
            </w:r>
          </w:p>
        </w:tc>
        <w:tc>
          <w:tcPr>
            <w:tcW w:type="dxa" w:w="1560"/>
            <w:shd w:val="clear" w:color="auto" w:fill="FDFEFE"/>
          </w:tcPr>
          <w:p>
            <w:pPr>
              <w:spacing w:before="40" w:after="40"/>
            </w:pPr>
            <w:r>
              <w:rPr>
                <w:sz w:val="17"/>
              </w:rPr>
              <w:t>&gt;60</w:t>
            </w:r>
          </w:p>
        </w:tc>
        <w:tc>
          <w:tcPr>
            <w:tcW w:type="dxa" w:w="1560"/>
            <w:shd w:val="clear" w:color="auto" w:fill="FDFEFE"/>
          </w:tcPr>
          <w:p>
            <w:pPr>
              <w:spacing w:before="40" w:after="40"/>
            </w:pPr>
            <w:r>
              <w:rPr>
                <w:sz w:val="17"/>
              </w:rPr>
              <w:t>&gt;70</w:t>
            </w:r>
          </w:p>
        </w:tc>
      </w:tr>
      <w:tr>
        <w:tc>
          <w:tcPr>
            <w:tcW w:type="dxa" w:w="1560"/>
            <w:shd w:val="clear" w:color="auto" w:fill="EBF5FB"/>
          </w:tcPr>
          <w:p>
            <w:pPr>
              <w:spacing w:before="40" w:after="40"/>
            </w:pPr>
            <w:r>
              <w:rPr>
                <w:sz w:val="17"/>
              </w:rPr>
              <w:t>Referral Rate</w:t>
            </w:r>
          </w:p>
        </w:tc>
        <w:tc>
          <w:tcPr>
            <w:tcW w:type="dxa" w:w="1560"/>
            <w:shd w:val="clear" w:color="auto" w:fill="EBF5FB"/>
          </w:tcPr>
          <w:p>
            <w:pPr>
              <w:spacing w:before="40" w:after="40"/>
            </w:pPr>
            <w:r>
              <w:rPr>
                <w:sz w:val="17"/>
              </w:rPr>
              <w:t>% of new riders acquired via referral (all types)</w:t>
            </w:r>
          </w:p>
        </w:tc>
        <w:tc>
          <w:tcPr>
            <w:tcW w:type="dxa" w:w="1560"/>
            <w:shd w:val="clear" w:color="auto" w:fill="EBF5FB"/>
          </w:tcPr>
          <w:p>
            <w:pPr>
              <w:spacing w:before="40" w:after="40"/>
            </w:pPr>
            <w:r>
              <w:rPr>
                <w:sz w:val="17"/>
              </w:rPr>
              <w:t>Weekly</w:t>
            </w:r>
          </w:p>
        </w:tc>
        <w:tc>
          <w:tcPr>
            <w:tcW w:type="dxa" w:w="1560"/>
            <w:shd w:val="clear" w:color="auto" w:fill="EBF5FB"/>
          </w:tcPr>
          <w:p>
            <w:pPr>
              <w:spacing w:before="40" w:after="40"/>
            </w:pPr>
            <w:r>
              <w:rPr>
                <w:sz w:val="17"/>
              </w:rPr>
              <w:t>25%</w:t>
            </w:r>
          </w:p>
        </w:tc>
        <w:tc>
          <w:tcPr>
            <w:tcW w:type="dxa" w:w="1560"/>
            <w:shd w:val="clear" w:color="auto" w:fill="EBF5FB"/>
          </w:tcPr>
          <w:p>
            <w:pPr>
              <w:spacing w:before="40" w:after="40"/>
            </w:pPr>
            <w:r>
              <w:rPr>
                <w:sz w:val="17"/>
              </w:rPr>
              <w:t>35%</w:t>
            </w:r>
          </w:p>
        </w:tc>
        <w:tc>
          <w:tcPr>
            <w:tcW w:type="dxa" w:w="1560"/>
            <w:shd w:val="clear" w:color="auto" w:fill="EBF5FB"/>
          </w:tcPr>
          <w:p>
            <w:pPr>
              <w:spacing w:before="40" w:after="40"/>
            </w:pPr>
            <w:r>
              <w:rPr>
                <w:sz w:val="17"/>
              </w:rPr>
              <w:t>42%</w:t>
            </w:r>
          </w:p>
        </w:tc>
      </w:tr>
      <w:tr>
        <w:tc>
          <w:tcPr>
            <w:tcW w:type="dxa" w:w="1560"/>
            <w:shd w:val="clear" w:color="auto" w:fill="FDFEFE"/>
          </w:tcPr>
          <w:p>
            <w:pPr>
              <w:spacing w:before="40" w:after="40"/>
            </w:pPr>
            <w:r>
              <w:rPr>
                <w:sz w:val="17"/>
              </w:rPr>
              <w:t>Viral Coefficient (K-factor)</w:t>
            </w:r>
          </w:p>
        </w:tc>
        <w:tc>
          <w:tcPr>
            <w:tcW w:type="dxa" w:w="1560"/>
            <w:shd w:val="clear" w:color="auto" w:fill="FDFEFE"/>
          </w:tcPr>
          <w:p>
            <w:pPr>
              <w:spacing w:before="40" w:after="40"/>
            </w:pPr>
            <w:r>
              <w:rPr>
                <w:sz w:val="17"/>
              </w:rPr>
              <w:t>Avg new riders generated per active rider per month</w:t>
            </w:r>
          </w:p>
        </w:tc>
        <w:tc>
          <w:tcPr>
            <w:tcW w:type="dxa" w:w="1560"/>
            <w:shd w:val="clear" w:color="auto" w:fill="FDFEFE"/>
          </w:tcPr>
          <w:p>
            <w:pPr>
              <w:spacing w:before="40" w:after="40"/>
            </w:pPr>
            <w:r>
              <w:rPr>
                <w:sz w:val="17"/>
              </w:rPr>
              <w:t>Monthly</w:t>
            </w:r>
          </w:p>
        </w:tc>
        <w:tc>
          <w:tcPr>
            <w:tcW w:type="dxa" w:w="1560"/>
            <w:shd w:val="clear" w:color="auto" w:fill="FDFEFE"/>
          </w:tcPr>
          <w:p>
            <w:pPr>
              <w:spacing w:before="40" w:after="40"/>
            </w:pPr>
            <w:r>
              <w:rPr>
                <w:sz w:val="17"/>
              </w:rPr>
              <w:t>0.25</w:t>
            </w:r>
          </w:p>
        </w:tc>
        <w:tc>
          <w:tcPr>
            <w:tcW w:type="dxa" w:w="1560"/>
            <w:shd w:val="clear" w:color="auto" w:fill="FDFEFE"/>
          </w:tcPr>
          <w:p>
            <w:pPr>
              <w:spacing w:before="40" w:after="40"/>
            </w:pPr>
            <w:r>
              <w:rPr>
                <w:sz w:val="17"/>
              </w:rPr>
              <w:t>0.40</w:t>
            </w:r>
          </w:p>
        </w:tc>
        <w:tc>
          <w:tcPr>
            <w:tcW w:type="dxa" w:w="1560"/>
            <w:shd w:val="clear" w:color="auto" w:fill="FDFEFE"/>
          </w:tcPr>
          <w:p>
            <w:pPr>
              <w:spacing w:before="40" w:after="40"/>
            </w:pPr>
            <w:r>
              <w:rPr>
                <w:sz w:val="17"/>
              </w:rPr>
              <w:t>0.55</w:t>
            </w:r>
          </w:p>
        </w:tc>
      </w:tr>
      <w:tr>
        <w:tc>
          <w:tcPr>
            <w:tcW w:type="dxa" w:w="1560"/>
            <w:shd w:val="clear" w:color="auto" w:fill="EBF5FB"/>
          </w:tcPr>
          <w:p>
            <w:pPr>
              <w:spacing w:before="40" w:after="40"/>
            </w:pPr>
            <w:r>
              <w:rPr>
                <w:sz w:val="17"/>
              </w:rPr>
              <w:t>Female Rider Share</w:t>
            </w:r>
          </w:p>
        </w:tc>
        <w:tc>
          <w:tcPr>
            <w:tcW w:type="dxa" w:w="1560"/>
            <w:shd w:val="clear" w:color="auto" w:fill="EBF5FB"/>
          </w:tcPr>
          <w:p>
            <w:pPr>
              <w:spacing w:before="40" w:after="40"/>
            </w:pPr>
            <w:r>
              <w:rPr>
                <w:sz w:val="17"/>
              </w:rPr>
              <w:t>% of new rider registrations identifying as female</w:t>
            </w:r>
          </w:p>
        </w:tc>
        <w:tc>
          <w:tcPr>
            <w:tcW w:type="dxa" w:w="1560"/>
            <w:shd w:val="clear" w:color="auto" w:fill="EBF5FB"/>
          </w:tcPr>
          <w:p>
            <w:pPr>
              <w:spacing w:before="40" w:after="40"/>
            </w:pPr>
            <w:r>
              <w:rPr>
                <w:sz w:val="17"/>
              </w:rPr>
              <w:t>Monthly</w:t>
            </w:r>
          </w:p>
        </w:tc>
        <w:tc>
          <w:tcPr>
            <w:tcW w:type="dxa" w:w="1560"/>
            <w:shd w:val="clear" w:color="auto" w:fill="EBF5FB"/>
          </w:tcPr>
          <w:p>
            <w:pPr>
              <w:spacing w:before="40" w:after="40"/>
            </w:pPr>
            <w:r>
              <w:rPr>
                <w:sz w:val="17"/>
              </w:rPr>
              <w:t>28%</w:t>
            </w:r>
          </w:p>
        </w:tc>
        <w:tc>
          <w:tcPr>
            <w:tcW w:type="dxa" w:w="1560"/>
            <w:shd w:val="clear" w:color="auto" w:fill="EBF5FB"/>
          </w:tcPr>
          <w:p>
            <w:pPr>
              <w:spacing w:before="40" w:after="40"/>
            </w:pPr>
            <w:r>
              <w:rPr>
                <w:sz w:val="17"/>
              </w:rPr>
              <w:t>36%</w:t>
            </w:r>
          </w:p>
        </w:tc>
        <w:tc>
          <w:tcPr>
            <w:tcW w:type="dxa" w:w="1560"/>
            <w:shd w:val="clear" w:color="auto" w:fill="EBF5FB"/>
          </w:tcPr>
          <w:p>
            <w:pPr>
              <w:spacing w:before="40" w:after="40"/>
            </w:pPr>
            <w:r>
              <w:rPr>
                <w:sz w:val="17"/>
              </w:rPr>
              <w:t>42%</w:t>
            </w:r>
          </w:p>
        </w:tc>
      </w:tr>
      <w:tr>
        <w:tc>
          <w:tcPr>
            <w:tcW w:type="dxa" w:w="1560"/>
            <w:shd w:val="clear" w:color="auto" w:fill="FDFEFE"/>
          </w:tcPr>
          <w:p>
            <w:pPr>
              <w:spacing w:before="40" w:after="40"/>
            </w:pPr>
            <w:r>
              <w:rPr>
                <w:sz w:val="17"/>
              </w:rPr>
              <w:t>Preferred Driver Pins</w:t>
            </w:r>
          </w:p>
        </w:tc>
        <w:tc>
          <w:tcPr>
            <w:tcW w:type="dxa" w:w="1560"/>
            <w:shd w:val="clear" w:color="auto" w:fill="FDFEFE"/>
          </w:tcPr>
          <w:p>
            <w:pPr>
              <w:spacing w:before="40" w:after="40"/>
            </w:pPr>
            <w:r>
              <w:rPr>
                <w:sz w:val="17"/>
              </w:rPr>
              <w:t>Riders who have pinned a preferred driver</w:t>
            </w:r>
          </w:p>
        </w:tc>
        <w:tc>
          <w:tcPr>
            <w:tcW w:type="dxa" w:w="1560"/>
            <w:shd w:val="clear" w:color="auto" w:fill="FDFEFE"/>
          </w:tcPr>
          <w:p>
            <w:pPr>
              <w:spacing w:before="40" w:after="40"/>
            </w:pPr>
            <w:r>
              <w:rPr>
                <w:sz w:val="17"/>
              </w:rPr>
              <w:t>Monthly</w:t>
            </w:r>
          </w:p>
        </w:tc>
        <w:tc>
          <w:tcPr>
            <w:tcW w:type="dxa" w:w="1560"/>
            <w:shd w:val="clear" w:color="auto" w:fill="FDFEFE"/>
          </w:tcPr>
          <w:p>
            <w:pPr>
              <w:spacing w:before="40" w:after="40"/>
            </w:pPr>
            <w:r>
              <w:rPr>
                <w:sz w:val="17"/>
              </w:rPr>
              <w:t>200</w:t>
            </w:r>
          </w:p>
        </w:tc>
        <w:tc>
          <w:tcPr>
            <w:tcW w:type="dxa" w:w="1560"/>
            <w:shd w:val="clear" w:color="auto" w:fill="FDFEFE"/>
          </w:tcPr>
          <w:p>
            <w:pPr>
              <w:spacing w:before="40" w:after="40"/>
            </w:pPr>
            <w:r>
              <w:rPr>
                <w:sz w:val="17"/>
              </w:rPr>
              <w:t>800</w:t>
            </w:r>
          </w:p>
        </w:tc>
        <w:tc>
          <w:tcPr>
            <w:tcW w:type="dxa" w:w="1560"/>
            <w:shd w:val="clear" w:color="auto" w:fill="FDFEFE"/>
          </w:tcPr>
          <w:p>
            <w:pPr>
              <w:spacing w:before="40" w:after="40"/>
            </w:pPr>
            <w:r>
              <w:rPr>
                <w:sz w:val="17"/>
              </w:rPr>
              <w:t>3,500</w:t>
            </w:r>
          </w:p>
        </w:tc>
      </w:tr>
      <w:tr>
        <w:tc>
          <w:tcPr>
            <w:tcW w:type="dxa" w:w="1560"/>
            <w:shd w:val="clear" w:color="auto" w:fill="EBF5FB"/>
          </w:tcPr>
          <w:p>
            <w:pPr>
              <w:spacing w:before="40" w:after="40"/>
            </w:pPr>
            <w:r>
              <w:rPr>
                <w:sz w:val="17"/>
              </w:rPr>
              <w:t>Streak Engagement Rate</w:t>
            </w:r>
          </w:p>
        </w:tc>
        <w:tc>
          <w:tcPr>
            <w:tcW w:type="dxa" w:w="1560"/>
            <w:shd w:val="clear" w:color="auto" w:fill="EBF5FB"/>
          </w:tcPr>
          <w:p>
            <w:pPr>
              <w:spacing w:before="40" w:after="40"/>
            </w:pPr>
            <w:r>
              <w:rPr>
                <w:sz w:val="17"/>
              </w:rPr>
              <w:t>% of active riders maintaining a weekly ride streak</w:t>
            </w:r>
          </w:p>
        </w:tc>
        <w:tc>
          <w:tcPr>
            <w:tcW w:type="dxa" w:w="1560"/>
            <w:shd w:val="clear" w:color="auto" w:fill="EBF5FB"/>
          </w:tcPr>
          <w:p>
            <w:pPr>
              <w:spacing w:before="40" w:after="40"/>
            </w:pPr>
            <w:r>
              <w:rPr>
                <w:sz w:val="17"/>
              </w:rPr>
              <w:t>Weekly</w:t>
            </w:r>
          </w:p>
        </w:tc>
        <w:tc>
          <w:tcPr>
            <w:tcW w:type="dxa" w:w="1560"/>
            <w:shd w:val="clear" w:color="auto" w:fill="EBF5FB"/>
          </w:tcPr>
          <w:p>
            <w:pPr>
              <w:spacing w:before="40" w:after="40"/>
            </w:pPr>
            <w:r>
              <w:rPr>
                <w:sz w:val="17"/>
              </w:rPr>
              <w:t>20%</w:t>
            </w:r>
          </w:p>
        </w:tc>
        <w:tc>
          <w:tcPr>
            <w:tcW w:type="dxa" w:w="1560"/>
            <w:shd w:val="clear" w:color="auto" w:fill="EBF5FB"/>
          </w:tcPr>
          <w:p>
            <w:pPr>
              <w:spacing w:before="40" w:after="40"/>
            </w:pPr>
            <w:r>
              <w:rPr>
                <w:sz w:val="17"/>
              </w:rPr>
              <w:t>38%</w:t>
            </w:r>
          </w:p>
        </w:tc>
        <w:tc>
          <w:tcPr>
            <w:tcW w:type="dxa" w:w="1560"/>
            <w:shd w:val="clear" w:color="auto" w:fill="EBF5FB"/>
          </w:tcPr>
          <w:p>
            <w:pPr>
              <w:spacing w:before="40" w:after="40"/>
            </w:pPr>
            <w:r>
              <w:rPr>
                <w:sz w:val="17"/>
              </w:rPr>
              <w:t>48%</w:t>
            </w:r>
          </w:p>
        </w:tc>
      </w:tr>
      <w:tr>
        <w:tc>
          <w:tcPr>
            <w:tcW w:type="dxa" w:w="1560"/>
            <w:shd w:val="clear" w:color="auto" w:fill="FDFEFE"/>
          </w:tcPr>
          <w:p>
            <w:pPr>
              <w:spacing w:before="40" w:after="40"/>
            </w:pPr>
            <w:r>
              <w:rPr>
                <w:sz w:val="17"/>
              </w:rPr>
              <w:t>Week 1 Retention Rate</w:t>
            </w:r>
          </w:p>
        </w:tc>
        <w:tc>
          <w:tcPr>
            <w:tcW w:type="dxa" w:w="1560"/>
            <w:shd w:val="clear" w:color="auto" w:fill="FDFEFE"/>
          </w:tcPr>
          <w:p>
            <w:pPr>
              <w:spacing w:before="40" w:after="40"/>
            </w:pPr>
            <w:r>
              <w:rPr>
                <w:sz w:val="17"/>
              </w:rPr>
              <w:t>% of new riders who complete a 2nd ride within 7 days</w:t>
            </w:r>
          </w:p>
        </w:tc>
        <w:tc>
          <w:tcPr>
            <w:tcW w:type="dxa" w:w="1560"/>
            <w:shd w:val="clear" w:color="auto" w:fill="FDFEFE"/>
          </w:tcPr>
          <w:p>
            <w:pPr>
              <w:spacing w:before="40" w:after="40"/>
            </w:pPr>
            <w:r>
              <w:rPr>
                <w:sz w:val="17"/>
              </w:rPr>
              <w:t>Weekly</w:t>
            </w:r>
          </w:p>
        </w:tc>
        <w:tc>
          <w:tcPr>
            <w:tcW w:type="dxa" w:w="1560"/>
            <w:shd w:val="clear" w:color="auto" w:fill="FDFEFE"/>
          </w:tcPr>
          <w:p>
            <w:pPr>
              <w:spacing w:before="40" w:after="40"/>
            </w:pPr>
            <w:r>
              <w:rPr>
                <w:sz w:val="17"/>
              </w:rPr>
              <w:t>52%</w:t>
            </w:r>
          </w:p>
        </w:tc>
        <w:tc>
          <w:tcPr>
            <w:tcW w:type="dxa" w:w="1560"/>
            <w:shd w:val="clear" w:color="auto" w:fill="FDFEFE"/>
          </w:tcPr>
          <w:p>
            <w:pPr>
              <w:spacing w:before="40" w:after="40"/>
            </w:pPr>
            <w:r>
              <w:rPr>
                <w:sz w:val="17"/>
              </w:rPr>
              <w:t>60%</w:t>
            </w:r>
          </w:p>
        </w:tc>
        <w:tc>
          <w:tcPr>
            <w:tcW w:type="dxa" w:w="1560"/>
            <w:shd w:val="clear" w:color="auto" w:fill="FDFEFE"/>
          </w:tcPr>
          <w:p>
            <w:pPr>
              <w:spacing w:before="40" w:after="40"/>
            </w:pPr>
            <w:r>
              <w:rPr>
                <w:sz w:val="17"/>
              </w:rPr>
              <w:t>68%</w:t>
            </w:r>
          </w:p>
        </w:tc>
      </w:tr>
      <w:tr>
        <w:tc>
          <w:tcPr>
            <w:tcW w:type="dxa" w:w="1560"/>
            <w:shd w:val="clear" w:color="auto" w:fill="EBF5FB"/>
          </w:tcPr>
          <w:p>
            <w:pPr>
              <w:spacing w:before="40" w:after="40"/>
            </w:pPr>
            <w:r>
              <w:rPr>
                <w:sz w:val="17"/>
              </w:rPr>
              <w:t>Blended Rider CAC (JOD)</w:t>
            </w:r>
          </w:p>
        </w:tc>
        <w:tc>
          <w:tcPr>
            <w:tcW w:type="dxa" w:w="1560"/>
            <w:shd w:val="clear" w:color="auto" w:fill="EBF5FB"/>
          </w:tcPr>
          <w:p>
            <w:pPr>
              <w:spacing w:before="40" w:after="40"/>
            </w:pPr>
            <w:r>
              <w:rPr>
                <w:sz w:val="17"/>
              </w:rPr>
              <w:t>Total rider acquisition spend ÷ new active riders</w:t>
            </w:r>
          </w:p>
        </w:tc>
        <w:tc>
          <w:tcPr>
            <w:tcW w:type="dxa" w:w="1560"/>
            <w:shd w:val="clear" w:color="auto" w:fill="EBF5FB"/>
          </w:tcPr>
          <w:p>
            <w:pPr>
              <w:spacing w:before="40" w:after="40"/>
            </w:pPr>
            <w:r>
              <w:rPr>
                <w:sz w:val="17"/>
              </w:rPr>
              <w:t>Monthly</w:t>
            </w:r>
          </w:p>
        </w:tc>
        <w:tc>
          <w:tcPr>
            <w:tcW w:type="dxa" w:w="1560"/>
            <w:shd w:val="clear" w:color="auto" w:fill="EBF5FB"/>
          </w:tcPr>
          <w:p>
            <w:pPr>
              <w:spacing w:before="40" w:after="40"/>
            </w:pPr>
            <w:r>
              <w:rPr>
                <w:sz w:val="17"/>
              </w:rPr>
              <w:t>JD 1.75</w:t>
            </w:r>
          </w:p>
        </w:tc>
        <w:tc>
          <w:tcPr>
            <w:tcW w:type="dxa" w:w="1560"/>
            <w:shd w:val="clear" w:color="auto" w:fill="EBF5FB"/>
          </w:tcPr>
          <w:p>
            <w:pPr>
              <w:spacing w:before="40" w:after="40"/>
            </w:pPr>
            <w:r>
              <w:rPr>
                <w:sz w:val="17"/>
              </w:rPr>
              <w:t>JD 1.55</w:t>
            </w:r>
          </w:p>
        </w:tc>
        <w:tc>
          <w:tcPr>
            <w:tcW w:type="dxa" w:w="1560"/>
            <w:shd w:val="clear" w:color="auto" w:fill="EBF5FB"/>
          </w:tcPr>
          <w:p>
            <w:pPr>
              <w:spacing w:before="40" w:after="40"/>
            </w:pPr>
            <w:r>
              <w:rPr>
                <w:sz w:val="17"/>
              </w:rPr>
              <w:t>JD 1.30</w:t>
            </w:r>
          </w:p>
        </w:tc>
      </w:tr>
      <w:tr>
        <w:tc>
          <w:tcPr>
            <w:tcW w:type="dxa" w:w="1560"/>
            <w:shd w:val="clear" w:color="auto" w:fill="FDFEFE"/>
          </w:tcPr>
          <w:p>
            <w:pPr>
              <w:spacing w:before="40" w:after="40"/>
            </w:pPr>
            <w:r>
              <w:rPr>
                <w:sz w:val="17"/>
              </w:rPr>
              <w:t>Rider LTV/CAC Ratio</w:t>
            </w:r>
          </w:p>
        </w:tc>
        <w:tc>
          <w:tcPr>
            <w:tcW w:type="dxa" w:w="1560"/>
            <w:shd w:val="clear" w:color="auto" w:fill="FDFEFE"/>
          </w:tcPr>
          <w:p>
            <w:pPr>
              <w:spacing w:before="40" w:after="40"/>
            </w:pPr>
            <w:r>
              <w:rPr>
                <w:sz w:val="17"/>
              </w:rPr>
              <w:t>Blended LTV ÷ blended CAC</w:t>
            </w:r>
          </w:p>
        </w:tc>
        <w:tc>
          <w:tcPr>
            <w:tcW w:type="dxa" w:w="1560"/>
            <w:shd w:val="clear" w:color="auto" w:fill="FDFEFE"/>
          </w:tcPr>
          <w:p>
            <w:pPr>
              <w:spacing w:before="40" w:after="40"/>
            </w:pPr>
            <w:r>
              <w:rPr>
                <w:sz w:val="17"/>
              </w:rPr>
              <w:t>Quarterly</w:t>
            </w:r>
          </w:p>
        </w:tc>
        <w:tc>
          <w:tcPr>
            <w:tcW w:type="dxa" w:w="1560"/>
            <w:shd w:val="clear" w:color="auto" w:fill="FDFEFE"/>
          </w:tcPr>
          <w:p>
            <w:pPr>
              <w:spacing w:before="40" w:after="40"/>
            </w:pPr>
            <w:r>
              <w:rPr>
                <w:sz w:val="17"/>
              </w:rPr>
              <w:t>45×</w:t>
            </w:r>
          </w:p>
        </w:tc>
        <w:tc>
          <w:tcPr>
            <w:tcW w:type="dxa" w:w="1560"/>
            <w:shd w:val="clear" w:color="auto" w:fill="FDFEFE"/>
          </w:tcPr>
          <w:p>
            <w:pPr>
              <w:spacing w:before="40" w:after="40"/>
            </w:pPr>
            <w:r>
              <w:rPr>
                <w:sz w:val="17"/>
              </w:rPr>
              <w:t>60×</w:t>
            </w:r>
          </w:p>
        </w:tc>
        <w:tc>
          <w:tcPr>
            <w:tcW w:type="dxa" w:w="1560"/>
            <w:shd w:val="clear" w:color="auto" w:fill="FDFEFE"/>
          </w:tcPr>
          <w:p>
            <w:pPr>
              <w:spacing w:before="40" w:after="40"/>
            </w:pPr>
            <w:r>
              <w:rPr>
                <w:sz w:val="17"/>
              </w:rPr>
              <w:t>75×</w:t>
            </w:r>
          </w:p>
        </w:tc>
      </w:tr>
      <w:tr>
        <w:tc>
          <w:tcPr>
            <w:tcW w:type="dxa" w:w="1560"/>
            <w:shd w:val="clear" w:color="auto" w:fill="EBF5FB"/>
          </w:tcPr>
          <w:p>
            <w:pPr>
              <w:spacing w:before="40" w:after="40"/>
            </w:pPr>
            <w:r>
              <w:rPr>
                <w:sz w:val="17"/>
              </w:rPr>
              <w:t>Corporate Account Seats</w:t>
            </w:r>
          </w:p>
        </w:tc>
        <w:tc>
          <w:tcPr>
            <w:tcW w:type="dxa" w:w="1560"/>
            <w:shd w:val="clear" w:color="auto" w:fill="EBF5FB"/>
          </w:tcPr>
          <w:p>
            <w:pPr>
              <w:spacing w:before="40" w:after="40"/>
            </w:pPr>
            <w:r>
              <w:rPr>
                <w:sz w:val="17"/>
              </w:rPr>
              <w:t>Paying corporate employee ride accounts</w:t>
            </w:r>
          </w:p>
        </w:tc>
        <w:tc>
          <w:tcPr>
            <w:tcW w:type="dxa" w:w="1560"/>
            <w:shd w:val="clear" w:color="auto" w:fill="EBF5FB"/>
          </w:tcPr>
          <w:p>
            <w:pPr>
              <w:spacing w:before="40" w:after="40"/>
            </w:pPr>
            <w:r>
              <w:rPr>
                <w:sz w:val="17"/>
              </w:rPr>
              <w:t>Monthly</w:t>
            </w:r>
          </w:p>
        </w:tc>
        <w:tc>
          <w:tcPr>
            <w:tcW w:type="dxa" w:w="1560"/>
            <w:shd w:val="clear" w:color="auto" w:fill="EBF5FB"/>
          </w:tcPr>
          <w:p>
            <w:pPr>
              <w:spacing w:before="40" w:after="40"/>
            </w:pPr>
            <w:r>
              <w:rPr>
                <w:sz w:val="17"/>
              </w:rPr>
              <w:t>50</w:t>
            </w:r>
          </w:p>
        </w:tc>
        <w:tc>
          <w:tcPr>
            <w:tcW w:type="dxa" w:w="1560"/>
            <w:shd w:val="clear" w:color="auto" w:fill="EBF5FB"/>
          </w:tcPr>
          <w:p>
            <w:pPr>
              <w:spacing w:before="40" w:after="40"/>
            </w:pPr>
            <w:r>
              <w:rPr>
                <w:sz w:val="17"/>
              </w:rPr>
              <w:t>200</w:t>
            </w:r>
          </w:p>
        </w:tc>
        <w:tc>
          <w:tcPr>
            <w:tcW w:type="dxa" w:w="1560"/>
            <w:shd w:val="clear" w:color="auto" w:fill="EBF5FB"/>
          </w:tcPr>
          <w:p>
            <w:pPr>
              <w:spacing w:before="40" w:after="40"/>
            </w:pPr>
            <w:r>
              <w:rPr>
                <w:sz w:val="17"/>
              </w:rPr>
              <w:t>600</w:t>
            </w:r>
          </w:p>
        </w:tc>
      </w:tr>
    </w:tbl>
    <w:p/>
    <w:p>
      <w:r>
        <w:br w:type="page"/>
      </w:r>
    </w:p>
    <w:tbl>
      <w:tblPr>
        <w:tblW w:type="auto" w:w="0"/>
        <w:jc w:val="center"/>
        <w:tblLook w:firstColumn="1" w:firstRow="1" w:lastColumn="0" w:lastRow="0" w:noHBand="0" w:noVBand="1" w:val="04A0"/>
      </w:tblPr>
      <w:tblGrid>
        <w:gridCol w:w="9360"/>
      </w:tblGrid>
      <w:tr>
        <w:tc>
          <w:tcPr>
            <w:tcW w:type="dxa" w:w="9360"/>
            <w:shd w:val="clear" w:color="auto" w:fill="8E2E00"/>
          </w:tcPr>
          <w:p>
            <w:pPr>
              <w:spacing w:before="200" w:after="80"/>
              <w:jc w:val="center"/>
            </w:pPr>
            <w:r>
              <w:rPr>
                <w:b/>
                <w:color w:val="FFFFFF"/>
                <w:sz w:val="30"/>
              </w:rPr>
              <w:t>07  DOCUMENT CONSISTENCY MAP</w:t>
            </w:r>
          </w:p>
          <w:p>
            <w:pPr>
              <w:spacing w:after="160"/>
              <w:jc w:val="center"/>
            </w:pPr>
            <w:r>
              <w:rPr>
                <w:i/>
                <w:color w:val="FFFFFF"/>
                <w:sz w:val="18"/>
              </w:rPr>
              <w:t>Every strategic change mapped to every business document — exact section, cell, and copy change</w:t>
            </w:r>
          </w:p>
        </w:tc>
      </w:tr>
    </w:tbl>
    <w:p/>
    <w:p>
      <w:pPr>
        <w:spacing w:before="320" w:after="80"/>
      </w:pPr>
      <w:r>
        <w:rPr>
          <w:b/>
          <w:color w:val="E56B1F"/>
          <w:sz w:val="28"/>
        </w:rPr>
        <w:t>How to Use This Section</w:t>
      </w:r>
    </w:p>
    <w:p>
      <w:pPr>
        <w:spacing w:before="40" w:after="100"/>
      </w:pPr>
      <w:r>
        <w:rPr>
          <w:b w:val="0"/>
          <w:i w:val="0"/>
          <w:color w:val="3D3D3D"/>
          <w:sz w:val="21"/>
        </w:rPr>
        <w:t>Every strategic recommendation in Sections 01–06 requires updates across multiple business documents. This section lists, for every major change, exactly which document needs updating, what section or cell changes, and how the financial assumptions shift. Use this as a checklist before any investor meeting or team review.</w:t>
      </w:r>
    </w:p>
    <w:p>
      <w:pPr>
        <w:spacing w:before="240" w:after="80"/>
      </w:pPr>
      <w:r>
        <w:rPr>
          <w:b/>
          <w:color w:val="E56B1F"/>
          <w:sz w:val="23"/>
        </w:rPr>
        <w:t>WASEL LOCK™ — Pre-Trip Price Guarantee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8E2E00"/>
          </w:tcPr>
          <w:p>
            <w:r>
              <w:rPr>
                <w:b/>
                <w:color w:val="FFFFFF"/>
                <w:sz w:val="18"/>
              </w:rPr>
              <w:t>Document</w:t>
            </w:r>
          </w:p>
        </w:tc>
        <w:tc>
          <w:tcPr>
            <w:tcW w:type="dxa" w:w="3120"/>
            <w:shd w:val="clear" w:color="auto" w:fill="8E2E00"/>
          </w:tcPr>
          <w:p>
            <w:r>
              <w:rPr>
                <w:b/>
                <w:color w:val="FFFFFF"/>
                <w:sz w:val="18"/>
              </w:rPr>
              <w:t>Section / Cell</w:t>
            </w:r>
          </w:p>
        </w:tc>
        <w:tc>
          <w:tcPr>
            <w:tcW w:type="dxa" w:w="3120"/>
            <w:shd w:val="clear" w:color="auto" w:fill="8E2E00"/>
          </w:tcPr>
          <w:p>
            <w:r>
              <w:rPr>
                <w:b/>
                <w:color w:val="FFFFFF"/>
                <w:sz w:val="18"/>
              </w:rPr>
              <w:t>Exact Change</w:t>
            </w:r>
          </w:p>
        </w:tc>
      </w:tr>
      <w:tr>
        <w:tc>
          <w:tcPr>
            <w:tcW w:type="dxa" w:w="3120"/>
            <w:shd w:val="clear" w:color="auto" w:fill="FFF3E0"/>
          </w:tcPr>
          <w:p>
            <w:r>
              <w:rPr>
                <w:b/>
                <w:color w:val="E56B1F"/>
                <w:sz w:val="17"/>
              </w:rPr>
              <w:t>Pitch Deck</w:t>
            </w:r>
          </w:p>
        </w:tc>
        <w:tc>
          <w:tcPr>
            <w:tcW w:type="dxa" w:w="3120"/>
            <w:shd w:val="clear" w:color="auto" w:fill="FEF5E7"/>
          </w:tcPr>
          <w:p>
            <w:pPr>
              <w:spacing w:before="40" w:after="40"/>
            </w:pPr>
            <w:r>
              <w:rPr>
                <w:sz w:val="17"/>
              </w:rPr>
              <w:t>Product Features slide</w:t>
            </w:r>
          </w:p>
        </w:tc>
        <w:tc>
          <w:tcPr>
            <w:tcW w:type="dxa" w:w="3120"/>
            <w:shd w:val="clear" w:color="auto" w:fill="FEF5E7"/>
          </w:tcPr>
          <w:p>
            <w:pPr>
              <w:spacing w:before="40" w:after="40"/>
            </w:pPr>
            <w:r>
              <w:rPr>
                <w:sz w:val="17"/>
              </w:rPr>
              <w:t>Add: 'Fare locked before you tap — no surge surprises.' Replace any dynamic pricing description.</w:t>
            </w:r>
          </w:p>
        </w:tc>
      </w:tr>
      <w:tr>
        <w:tc>
          <w:tcPr>
            <w:tcW w:type="dxa" w:w="3120"/>
            <w:shd w:val="clear" w:color="auto" w:fill="FFF3E0"/>
          </w:tcPr>
          <w:p>
            <w:r>
              <w:rPr>
                <w:b/>
                <w:color w:val="E56B1F"/>
                <w:sz w:val="17"/>
              </w:rPr>
              <w:t>Financial Model — Rider Economics</w:t>
            </w:r>
          </w:p>
        </w:tc>
        <w:tc>
          <w:tcPr>
            <w:tcW w:type="dxa" w:w="3120"/>
            <w:shd w:val="clear" w:color="auto" w:fill="FDFEFE"/>
          </w:tcPr>
          <w:p>
            <w:pPr>
              <w:spacing w:before="40" w:after="40"/>
            </w:pPr>
            <w:r>
              <w:rPr>
                <w:sz w:val="17"/>
              </w:rPr>
              <w:t>Rider conversion rate assumption</w:t>
            </w:r>
          </w:p>
        </w:tc>
        <w:tc>
          <w:tcPr>
            <w:tcW w:type="dxa" w:w="3120"/>
            <w:shd w:val="clear" w:color="auto" w:fill="FDFEFE"/>
          </w:tcPr>
          <w:p>
            <w:pPr>
              <w:spacing w:before="40" w:after="40"/>
            </w:pPr>
            <w:r>
              <w:rPr>
                <w:sz w:val="17"/>
              </w:rPr>
              <w:t>Increase booking conversion rate by +15% from M3 onward. Impact: ~2,400 additional riders at same CAC.</w:t>
            </w:r>
          </w:p>
        </w:tc>
      </w:tr>
      <w:tr>
        <w:tc>
          <w:tcPr>
            <w:tcW w:type="dxa" w:w="3120"/>
            <w:shd w:val="clear" w:color="auto" w:fill="FFF3E0"/>
          </w:tcPr>
          <w:p>
            <w:r>
              <w:rPr>
                <w:b/>
                <w:color w:val="E56B1F"/>
                <w:sz w:val="17"/>
              </w:rPr>
              <w:t>Financial Model — Rider Economics</w:t>
            </w:r>
          </w:p>
        </w:tc>
        <w:tc>
          <w:tcPr>
            <w:tcW w:type="dxa" w:w="3120"/>
            <w:shd w:val="clear" w:color="auto" w:fill="FEF5E7"/>
          </w:tcPr>
          <w:p>
            <w:pPr>
              <w:spacing w:before="40" w:after="40"/>
            </w:pPr>
            <w:r>
              <w:rPr>
                <w:sz w:val="17"/>
              </w:rPr>
              <w:t>Month 3+ acquisition efficiency</w:t>
            </w:r>
          </w:p>
        </w:tc>
        <w:tc>
          <w:tcPr>
            <w:tcW w:type="dxa" w:w="3120"/>
            <w:shd w:val="clear" w:color="auto" w:fill="FEF5E7"/>
          </w:tcPr>
          <w:p>
            <w:pPr>
              <w:spacing w:before="40" w:after="40"/>
            </w:pPr>
            <w:r>
              <w:rPr>
                <w:sz w:val="17"/>
              </w:rPr>
              <w:t>Remove boycott multiplier from conversion model. Replace with structural conversion uplift (1.15× from Wasel Lock).</w:t>
            </w:r>
          </w:p>
        </w:tc>
      </w:tr>
      <w:tr>
        <w:tc>
          <w:tcPr>
            <w:tcW w:type="dxa" w:w="3120"/>
            <w:shd w:val="clear" w:color="auto" w:fill="FFF3E0"/>
          </w:tcPr>
          <w:p>
            <w:r>
              <w:rPr>
                <w:b/>
                <w:color w:val="E56B1F"/>
                <w:sz w:val="17"/>
              </w:rPr>
              <w:t>Brand Strategy Doc</w:t>
            </w:r>
          </w:p>
        </w:tc>
        <w:tc>
          <w:tcPr>
            <w:tcW w:type="dxa" w:w="3120"/>
            <w:shd w:val="clear" w:color="auto" w:fill="FDFEFE"/>
          </w:tcPr>
          <w:p>
            <w:pPr>
              <w:spacing w:before="40" w:after="40"/>
            </w:pPr>
            <w:r>
              <w:rPr>
                <w:sz w:val="17"/>
              </w:rPr>
              <w:t>Phase 4 Messaging — Core Message</w:t>
            </w:r>
          </w:p>
        </w:tc>
        <w:tc>
          <w:tcPr>
            <w:tcW w:type="dxa" w:w="3120"/>
            <w:shd w:val="clear" w:color="auto" w:fill="FDFEFE"/>
          </w:tcPr>
          <w:p>
            <w:pPr>
              <w:spacing w:before="40" w:after="40"/>
            </w:pPr>
            <w:r>
              <w:rPr>
                <w:sz w:val="17"/>
              </w:rPr>
              <w:t>Add: 'Price locked before you tap' as Proof Point #1 for rider messaging.</w:t>
            </w:r>
          </w:p>
        </w:tc>
      </w:tr>
      <w:tr>
        <w:tc>
          <w:tcPr>
            <w:tcW w:type="dxa" w:w="3120"/>
            <w:shd w:val="clear" w:color="auto" w:fill="FFF3E0"/>
          </w:tcPr>
          <w:p>
            <w:r>
              <w:rPr>
                <w:b/>
                <w:color w:val="E56B1F"/>
                <w:sz w:val="17"/>
              </w:rPr>
              <w:t>Landing Page Copy</w:t>
            </w:r>
          </w:p>
        </w:tc>
        <w:tc>
          <w:tcPr>
            <w:tcW w:type="dxa" w:w="3120"/>
            <w:shd w:val="clear" w:color="auto" w:fill="FEF5E7"/>
          </w:tcPr>
          <w:p>
            <w:pPr>
              <w:spacing w:before="40" w:after="40"/>
            </w:pPr>
            <w:r>
              <w:rPr>
                <w:sz w:val="17"/>
              </w:rPr>
              <w:t>Hero section below fold</w:t>
            </w:r>
          </w:p>
        </w:tc>
        <w:tc>
          <w:tcPr>
            <w:tcW w:type="dxa" w:w="3120"/>
            <w:shd w:val="clear" w:color="auto" w:fill="FEF5E7"/>
          </w:tcPr>
          <w:p>
            <w:pPr>
              <w:spacing w:before="40" w:after="40"/>
            </w:pPr>
            <w:r>
              <w:rPr>
                <w:sz w:val="17"/>
              </w:rPr>
              <w:t>Add earnings calculator that shows: 'On Wasel: your fare was JD X, locked before you confirmed. No surge ever.'</w:t>
            </w:r>
          </w:p>
        </w:tc>
      </w:tr>
      <w:tr>
        <w:tc>
          <w:tcPr>
            <w:tcW w:type="dxa" w:w="3120"/>
            <w:shd w:val="clear" w:color="auto" w:fill="FFF3E0"/>
          </w:tcPr>
          <w:p>
            <w:r>
              <w:rPr>
                <w:b/>
                <w:color w:val="E56B1F"/>
                <w:sz w:val="17"/>
              </w:rPr>
              <w:t>Brand Strategy Doc</w:t>
            </w:r>
          </w:p>
        </w:tc>
        <w:tc>
          <w:tcPr>
            <w:tcW w:type="dxa" w:w="3120"/>
            <w:shd w:val="clear" w:color="auto" w:fill="FDFEFE"/>
          </w:tcPr>
          <w:p>
            <w:pPr>
              <w:spacing w:before="40" w:after="40"/>
            </w:pPr>
            <w:r>
              <w:rPr>
                <w:sz w:val="17"/>
              </w:rPr>
              <w:t>Phase 5 Visual Language</w:t>
            </w:r>
          </w:p>
        </w:tc>
        <w:tc>
          <w:tcPr>
            <w:tcW w:type="dxa" w:w="3120"/>
            <w:shd w:val="clear" w:color="auto" w:fill="FDFEFE"/>
          </w:tcPr>
          <w:p>
            <w:pPr>
              <w:spacing w:before="40" w:after="40"/>
            </w:pPr>
            <w:r>
              <w:rPr>
                <w:sz w:val="17"/>
              </w:rPr>
              <w:t>Price lock UI element must be visually prominent in all product screenshots. Not buried.</w:t>
            </w:r>
          </w:p>
        </w:tc>
      </w:tr>
    </w:tbl>
    <w:p/>
    <w:p>
      <w:pPr>
        <w:spacing w:before="240" w:after="80"/>
      </w:pPr>
      <w:r>
        <w:rPr>
          <w:b/>
          <w:color w:val="E56B1F"/>
          <w:sz w:val="23"/>
        </w:rPr>
        <w:t>Subscription Tier Restructure (Standard / Go JD 4.99 / Pass JD 9.99 / VIP JD 19.99)</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8E2E00"/>
          </w:tcPr>
          <w:p>
            <w:r>
              <w:rPr>
                <w:b/>
                <w:color w:val="FFFFFF"/>
                <w:sz w:val="18"/>
              </w:rPr>
              <w:t>Document</w:t>
            </w:r>
          </w:p>
        </w:tc>
        <w:tc>
          <w:tcPr>
            <w:tcW w:type="dxa" w:w="3120"/>
            <w:shd w:val="clear" w:color="auto" w:fill="8E2E00"/>
          </w:tcPr>
          <w:p>
            <w:r>
              <w:rPr>
                <w:b/>
                <w:color w:val="FFFFFF"/>
                <w:sz w:val="18"/>
              </w:rPr>
              <w:t>Section / Cell</w:t>
            </w:r>
          </w:p>
        </w:tc>
        <w:tc>
          <w:tcPr>
            <w:tcW w:type="dxa" w:w="3120"/>
            <w:shd w:val="clear" w:color="auto" w:fill="8E2E00"/>
          </w:tcPr>
          <w:p>
            <w:r>
              <w:rPr>
                <w:b/>
                <w:color w:val="FFFFFF"/>
                <w:sz w:val="18"/>
              </w:rPr>
              <w:t>Exact Change</w:t>
            </w:r>
          </w:p>
        </w:tc>
      </w:tr>
      <w:tr>
        <w:tc>
          <w:tcPr>
            <w:tcW w:type="dxa" w:w="3120"/>
            <w:shd w:val="clear" w:color="auto" w:fill="FFF3E0"/>
          </w:tcPr>
          <w:p>
            <w:r>
              <w:rPr>
                <w:b/>
                <w:color w:val="E56B1F"/>
                <w:sz w:val="17"/>
              </w:rPr>
              <w:t>Financial Model — Rider Economics</w:t>
            </w:r>
          </w:p>
        </w:tc>
        <w:tc>
          <w:tcPr>
            <w:tcW w:type="dxa" w:w="3120"/>
            <w:shd w:val="clear" w:color="auto" w:fill="FEF5E7"/>
          </w:tcPr>
          <w:p>
            <w:pPr>
              <w:spacing w:before="40" w:after="40"/>
            </w:pPr>
            <w:r>
              <w:rPr>
                <w:sz w:val="17"/>
              </w:rPr>
              <w:t>Tier pricing cells</w:t>
            </w:r>
          </w:p>
        </w:tc>
        <w:tc>
          <w:tcPr>
            <w:tcW w:type="dxa" w:w="3120"/>
            <w:shd w:val="clear" w:color="auto" w:fill="FEF5E7"/>
          </w:tcPr>
          <w:p>
            <w:pPr>
              <w:spacing w:before="40" w:after="40"/>
            </w:pPr>
            <w:r>
              <w:rPr>
                <w:sz w:val="17"/>
              </w:rPr>
              <w:t>Update Go from JD 5.00 to JD 4.99. Update Pass from JD 10.00 to JD 9.99. Add VIP row at JD 19.99, 1% adoption M6+.</w:t>
            </w:r>
          </w:p>
        </w:tc>
      </w:tr>
      <w:tr>
        <w:tc>
          <w:tcPr>
            <w:tcW w:type="dxa" w:w="3120"/>
            <w:shd w:val="clear" w:color="auto" w:fill="FFF3E0"/>
          </w:tcPr>
          <w:p>
            <w:r>
              <w:rPr>
                <w:b/>
                <w:color w:val="E56B1F"/>
                <w:sz w:val="17"/>
              </w:rPr>
              <w:t>Financial Model — Rider Economics</w:t>
            </w:r>
          </w:p>
        </w:tc>
        <w:tc>
          <w:tcPr>
            <w:tcW w:type="dxa" w:w="3120"/>
            <w:shd w:val="clear" w:color="auto" w:fill="FDFEFE"/>
          </w:tcPr>
          <w:p>
            <w:pPr>
              <w:spacing w:before="40" w:after="40"/>
            </w:pPr>
            <w:r>
              <w:rPr>
                <w:sz w:val="17"/>
              </w:rPr>
              <w:t>Revenue calculations M1–M12</w:t>
            </w:r>
          </w:p>
        </w:tc>
        <w:tc>
          <w:tcPr>
            <w:tcW w:type="dxa" w:w="3120"/>
            <w:shd w:val="clear" w:color="auto" w:fill="FDFEFE"/>
          </w:tcPr>
          <w:p>
            <w:pPr>
              <w:spacing w:before="40" w:after="40"/>
            </w:pPr>
            <w:r>
              <w:rPr>
                <w:sz w:val="17"/>
              </w:rPr>
              <w:t>Blended ARPU revises from JD 7.25 to JD 6.80 (charm pricing − JD 0.01 × 2 tiers). Annual impact: −JD 2,800. Negligible.</w:t>
            </w:r>
          </w:p>
        </w:tc>
      </w:tr>
      <w:tr>
        <w:tc>
          <w:tcPr>
            <w:tcW w:type="dxa" w:w="3120"/>
            <w:shd w:val="clear" w:color="auto" w:fill="FFF3E0"/>
          </w:tcPr>
          <w:p>
            <w:r>
              <w:rPr>
                <w:b/>
                <w:color w:val="E56B1F"/>
                <w:sz w:val="17"/>
              </w:rPr>
              <w:t>Financial Model — Executive Summary</w:t>
            </w:r>
          </w:p>
        </w:tc>
        <w:tc>
          <w:tcPr>
            <w:tcW w:type="dxa" w:w="3120"/>
            <w:shd w:val="clear" w:color="auto" w:fill="FEF5E7"/>
          </w:tcPr>
          <w:p>
            <w:pPr>
              <w:spacing w:before="40" w:after="40"/>
            </w:pPr>
            <w:r>
              <w:rPr>
                <w:sz w:val="17"/>
              </w:rPr>
              <w:t>Rider tier overview table</w:t>
            </w:r>
          </w:p>
        </w:tc>
        <w:tc>
          <w:tcPr>
            <w:tcW w:type="dxa" w:w="3120"/>
            <w:shd w:val="clear" w:color="auto" w:fill="FEF5E7"/>
          </w:tcPr>
          <w:p>
            <w:pPr>
              <w:spacing w:before="40" w:after="40"/>
            </w:pPr>
            <w:r>
              <w:rPr>
                <w:sz w:val="17"/>
              </w:rPr>
              <w:t>Update all tier prices to reflect charm pricing. Update VIP row.</w:t>
            </w:r>
          </w:p>
        </w:tc>
      </w:tr>
      <w:tr>
        <w:tc>
          <w:tcPr>
            <w:tcW w:type="dxa" w:w="3120"/>
            <w:shd w:val="clear" w:color="auto" w:fill="FFF3E0"/>
          </w:tcPr>
          <w:p>
            <w:r>
              <w:rPr>
                <w:b/>
                <w:color w:val="E56B1F"/>
                <w:sz w:val="17"/>
              </w:rPr>
              <w:t>Financial Model — Rider Economics</w:t>
            </w:r>
          </w:p>
        </w:tc>
        <w:tc>
          <w:tcPr>
            <w:tcW w:type="dxa" w:w="3120"/>
            <w:shd w:val="clear" w:color="auto" w:fill="FDFEFE"/>
          </w:tcPr>
          <w:p>
            <w:pPr>
              <w:spacing w:before="40" w:after="40"/>
            </w:pPr>
            <w:r>
              <w:rPr>
                <w:sz w:val="17"/>
              </w:rPr>
              <w:t>Year 1 total rider subscription revenue</w:t>
            </w:r>
          </w:p>
        </w:tc>
        <w:tc>
          <w:tcPr>
            <w:tcW w:type="dxa" w:w="3120"/>
            <w:shd w:val="clear" w:color="auto" w:fill="FDFEFE"/>
          </w:tcPr>
          <w:p>
            <w:pPr>
              <w:spacing w:before="40" w:after="40"/>
            </w:pPr>
            <w:r>
              <w:rPr>
                <w:sz w:val="17"/>
              </w:rPr>
              <w:t>Add VIP tier revenue: 1% of M6+ active riders × JD 19.99 × months active. Estimated +JD 8,400 Y1.</w:t>
            </w:r>
          </w:p>
        </w:tc>
      </w:tr>
      <w:tr>
        <w:tc>
          <w:tcPr>
            <w:tcW w:type="dxa" w:w="3120"/>
            <w:shd w:val="clear" w:color="auto" w:fill="FFF3E0"/>
          </w:tcPr>
          <w:p>
            <w:r>
              <w:rPr>
                <w:b/>
                <w:color w:val="E56B1F"/>
                <w:sz w:val="17"/>
              </w:rPr>
              <w:t>Pitch Deck</w:t>
            </w:r>
          </w:p>
        </w:tc>
        <w:tc>
          <w:tcPr>
            <w:tcW w:type="dxa" w:w="3120"/>
            <w:shd w:val="clear" w:color="auto" w:fill="FEF5E7"/>
          </w:tcPr>
          <w:p>
            <w:pPr>
              <w:spacing w:before="40" w:after="40"/>
            </w:pPr>
            <w:r>
              <w:rPr>
                <w:sz w:val="17"/>
              </w:rPr>
              <w:t>Pricing slide</w:t>
            </w:r>
          </w:p>
        </w:tc>
        <w:tc>
          <w:tcPr>
            <w:tcW w:type="dxa" w:w="3120"/>
            <w:shd w:val="clear" w:color="auto" w:fill="FEF5E7"/>
          </w:tcPr>
          <w:p>
            <w:pPr>
              <w:spacing w:before="40" w:after="40"/>
            </w:pPr>
            <w:r>
              <w:rPr>
                <w:sz w:val="17"/>
              </w:rPr>
              <w:t>Update all tier prices. Add VIP tier. Add break-even ride calculation for each tier.</w:t>
            </w:r>
          </w:p>
        </w:tc>
      </w:tr>
      <w:tr>
        <w:tc>
          <w:tcPr>
            <w:tcW w:type="dxa" w:w="3120"/>
            <w:shd w:val="clear" w:color="auto" w:fill="FFF3E0"/>
          </w:tcPr>
          <w:p>
            <w:r>
              <w:rPr>
                <w:b/>
                <w:color w:val="E56B1F"/>
                <w:sz w:val="17"/>
              </w:rPr>
              <w:t>Brand Strategy Doc</w:t>
            </w:r>
          </w:p>
        </w:tc>
        <w:tc>
          <w:tcPr>
            <w:tcW w:type="dxa" w:w="3120"/>
            <w:shd w:val="clear" w:color="auto" w:fill="FDFEFE"/>
          </w:tcPr>
          <w:p>
            <w:pPr>
              <w:spacing w:before="40" w:after="40"/>
            </w:pPr>
            <w:r>
              <w:rPr>
                <w:sz w:val="17"/>
              </w:rPr>
              <w:t>Phase 3 Cultural Context</w:t>
            </w:r>
          </w:p>
        </w:tc>
        <w:tc>
          <w:tcPr>
            <w:tcW w:type="dxa" w:w="3120"/>
            <w:shd w:val="clear" w:color="auto" w:fill="FDFEFE"/>
          </w:tcPr>
          <w:p>
            <w:pPr>
              <w:spacing w:before="40" w:after="40"/>
            </w:pPr>
            <w:r>
              <w:rPr>
                <w:sz w:val="17"/>
              </w:rPr>
              <w:t>Update pricing table to reflect 4-tier model.</w:t>
            </w:r>
          </w:p>
        </w:tc>
      </w:tr>
      <w:tr>
        <w:tc>
          <w:tcPr>
            <w:tcW w:type="dxa" w:w="3120"/>
            <w:shd w:val="clear" w:color="auto" w:fill="FFF3E0"/>
          </w:tcPr>
          <w:p>
            <w:r>
              <w:rPr>
                <w:b/>
                <w:color w:val="E56B1F"/>
                <w:sz w:val="17"/>
              </w:rPr>
              <w:t>Landing Page Copy</w:t>
            </w:r>
          </w:p>
        </w:tc>
        <w:tc>
          <w:tcPr>
            <w:tcW w:type="dxa" w:w="3120"/>
            <w:shd w:val="clear" w:color="auto" w:fill="FEF5E7"/>
          </w:tcPr>
          <w:p>
            <w:pPr>
              <w:spacing w:before="40" w:after="40"/>
            </w:pPr>
            <w:r>
              <w:rPr>
                <w:sz w:val="17"/>
              </w:rPr>
              <w:t>Subscription comparison table</w:t>
            </w:r>
          </w:p>
        </w:tc>
        <w:tc>
          <w:tcPr>
            <w:tcW w:type="dxa" w:w="3120"/>
            <w:shd w:val="clear" w:color="auto" w:fill="FEF5E7"/>
          </w:tcPr>
          <w:p>
            <w:pPr>
              <w:spacing w:before="40" w:after="40"/>
            </w:pPr>
            <w:r>
              <w:rPr>
                <w:sz w:val="17"/>
              </w:rPr>
              <w:t>Update all prices. Add VIP tier. Add 'Cancel anytime' to all paid tiers.</w:t>
            </w:r>
          </w:p>
        </w:tc>
      </w:tr>
    </w:tbl>
    <w:p/>
    <w:p>
      <w:pPr>
        <w:spacing w:before="240" w:after="80"/>
      </w:pPr>
      <w:r>
        <w:rPr>
          <w:b/>
          <w:color w:val="E56B1F"/>
          <w:sz w:val="23"/>
        </w:rPr>
        <w:t>Rider CAC Revised: JD 1.83 → JD 1.42 (structural channels replace boycott multiplier)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8E2E00"/>
          </w:tcPr>
          <w:p>
            <w:r>
              <w:rPr>
                <w:b/>
                <w:color w:val="FFFFFF"/>
                <w:sz w:val="18"/>
              </w:rPr>
              <w:t>Document</w:t>
            </w:r>
          </w:p>
        </w:tc>
        <w:tc>
          <w:tcPr>
            <w:tcW w:type="dxa" w:w="3120"/>
            <w:shd w:val="clear" w:color="auto" w:fill="8E2E00"/>
          </w:tcPr>
          <w:p>
            <w:r>
              <w:rPr>
                <w:b/>
                <w:color w:val="FFFFFF"/>
                <w:sz w:val="18"/>
              </w:rPr>
              <w:t>Section / Cell</w:t>
            </w:r>
          </w:p>
        </w:tc>
        <w:tc>
          <w:tcPr>
            <w:tcW w:type="dxa" w:w="3120"/>
            <w:shd w:val="clear" w:color="auto" w:fill="8E2E00"/>
          </w:tcPr>
          <w:p>
            <w:r>
              <w:rPr>
                <w:b/>
                <w:color w:val="FFFFFF"/>
                <w:sz w:val="18"/>
              </w:rPr>
              <w:t>Exact Change</w:t>
            </w:r>
          </w:p>
        </w:tc>
      </w:tr>
      <w:tr>
        <w:tc>
          <w:tcPr>
            <w:tcW w:type="dxa" w:w="3120"/>
            <w:shd w:val="clear" w:color="auto" w:fill="FFF3E0"/>
          </w:tcPr>
          <w:p>
            <w:r>
              <w:rPr>
                <w:b/>
                <w:color w:val="E56B1F"/>
                <w:sz w:val="17"/>
              </w:rPr>
              <w:t>Financial Model — Rider Economics</w:t>
            </w:r>
          </w:p>
        </w:tc>
        <w:tc>
          <w:tcPr>
            <w:tcW w:type="dxa" w:w="3120"/>
            <w:shd w:val="clear" w:color="auto" w:fill="FEF5E7"/>
          </w:tcPr>
          <w:p>
            <w:pPr>
              <w:spacing w:before="40" w:after="40"/>
            </w:pPr>
            <w:r>
              <w:rPr>
                <w:sz w:val="17"/>
              </w:rPr>
              <w:t>Boycott efficiency multiplier row</w:t>
            </w:r>
          </w:p>
        </w:tc>
        <w:tc>
          <w:tcPr>
            <w:tcW w:type="dxa" w:w="3120"/>
            <w:shd w:val="clear" w:color="auto" w:fill="FEF5E7"/>
          </w:tcPr>
          <w:p>
            <w:pPr>
              <w:spacing w:before="40" w:after="40"/>
            </w:pPr>
            <w:r>
              <w:rPr>
                <w:sz w:val="17"/>
              </w:rPr>
              <w:t>Remove 1.25× boycott multiplier. Replace with structural channel mix efficiency table (see Section 5.1).</w:t>
            </w:r>
          </w:p>
        </w:tc>
      </w:tr>
      <w:tr>
        <w:tc>
          <w:tcPr>
            <w:tcW w:type="dxa" w:w="3120"/>
            <w:shd w:val="clear" w:color="auto" w:fill="FFF3E0"/>
          </w:tcPr>
          <w:p>
            <w:r>
              <w:rPr>
                <w:b/>
                <w:color w:val="E56B1F"/>
                <w:sz w:val="17"/>
              </w:rPr>
              <w:t>Financial Model — Rider Economics</w:t>
            </w:r>
          </w:p>
        </w:tc>
        <w:tc>
          <w:tcPr>
            <w:tcW w:type="dxa" w:w="3120"/>
            <w:shd w:val="clear" w:color="auto" w:fill="FDFEFE"/>
          </w:tcPr>
          <w:p>
            <w:pPr>
              <w:spacing w:before="40" w:after="40"/>
            </w:pPr>
            <w:r>
              <w:rPr>
                <w:sz w:val="17"/>
              </w:rPr>
              <w:t>Cost per Rider Acquired cells M1–M12</w:t>
            </w:r>
          </w:p>
        </w:tc>
        <w:tc>
          <w:tcPr>
            <w:tcW w:type="dxa" w:w="3120"/>
            <w:shd w:val="clear" w:color="auto" w:fill="FDFEFE"/>
          </w:tcPr>
          <w:p>
            <w:pPr>
              <w:spacing w:before="40" w:after="40"/>
            </w:pPr>
            <w:r>
              <w:rPr>
                <w:sz w:val="17"/>
              </w:rPr>
              <w:t>Revise downward: M1 JD 4.80→JD 4.20, M6 JD 1.83→JD 1.42, M12 JD 1.43→JD 1.10.</w:t>
            </w:r>
          </w:p>
        </w:tc>
      </w:tr>
      <w:tr>
        <w:tc>
          <w:tcPr>
            <w:tcW w:type="dxa" w:w="3120"/>
            <w:shd w:val="clear" w:color="auto" w:fill="FFF3E0"/>
          </w:tcPr>
          <w:p>
            <w:r>
              <w:rPr>
                <w:b/>
                <w:color w:val="E56B1F"/>
                <w:sz w:val="17"/>
              </w:rPr>
              <w:t>Financial Model — Rider Economics</w:t>
            </w:r>
          </w:p>
        </w:tc>
        <w:tc>
          <w:tcPr>
            <w:tcW w:type="dxa" w:w="3120"/>
            <w:shd w:val="clear" w:color="auto" w:fill="FEF5E7"/>
          </w:tcPr>
          <w:p>
            <w:pPr>
              <w:spacing w:before="40" w:after="40"/>
            </w:pPr>
            <w:r>
              <w:rPr>
                <w:sz w:val="17"/>
              </w:rPr>
              <w:t>Total rider marketing spend</w:t>
            </w:r>
          </w:p>
        </w:tc>
        <w:tc>
          <w:tcPr>
            <w:tcW w:type="dxa" w:w="3120"/>
            <w:shd w:val="clear" w:color="auto" w:fill="FEF5E7"/>
          </w:tcPr>
          <w:p>
            <w:pPr>
              <w:spacing w:before="40" w:after="40"/>
            </w:pPr>
            <w:r>
              <w:rPr>
                <w:sz w:val="17"/>
              </w:rPr>
              <w:t>Marketing spend remains same (JD 90,000 Y1). More riders acquired at lower CAC. Y1 effective rider count +3,200.</w:t>
            </w:r>
          </w:p>
        </w:tc>
      </w:tr>
      <w:tr>
        <w:tc>
          <w:tcPr>
            <w:tcW w:type="dxa" w:w="3120"/>
            <w:shd w:val="clear" w:color="auto" w:fill="FFF3E0"/>
          </w:tcPr>
          <w:p>
            <w:r>
              <w:rPr>
                <w:b/>
                <w:color w:val="E56B1F"/>
                <w:sz w:val="17"/>
              </w:rPr>
              <w:t>Financial Model — Pipeline Fixes sheet</w:t>
            </w:r>
          </w:p>
        </w:tc>
        <w:tc>
          <w:tcPr>
            <w:tcW w:type="dxa" w:w="3120"/>
            <w:shd w:val="clear" w:color="auto" w:fill="FDFEFE"/>
          </w:tcPr>
          <w:p>
            <w:pPr>
              <w:spacing w:before="40" w:after="40"/>
            </w:pPr>
            <w:r>
              <w:rPr>
                <w:sz w:val="17"/>
              </w:rPr>
              <w:t>Fix #6 (Boycott tailwind row)</w:t>
            </w:r>
          </w:p>
        </w:tc>
        <w:tc>
          <w:tcPr>
            <w:tcW w:type="dxa" w:w="3120"/>
            <w:shd w:val="clear" w:color="auto" w:fill="FDFEFE"/>
          </w:tcPr>
          <w:p>
            <w:pPr>
              <w:spacing w:before="40" w:after="40"/>
            </w:pPr>
            <w:r>
              <w:rPr>
                <w:sz w:val="17"/>
              </w:rPr>
              <w:t>Update description: Replace '1.25× boycott multiplier' with 'Structural channel mix (SAFE TRIP + connector network + referral = 1.29× efficiency). Boycott-independent.'</w:t>
            </w:r>
          </w:p>
        </w:tc>
      </w:tr>
      <w:tr>
        <w:tc>
          <w:tcPr>
            <w:tcW w:type="dxa" w:w="3120"/>
            <w:shd w:val="clear" w:color="auto" w:fill="FFF3E0"/>
          </w:tcPr>
          <w:p>
            <w:r>
              <w:rPr>
                <w:b/>
                <w:color w:val="E56B1F"/>
                <w:sz w:val="17"/>
              </w:rPr>
              <w:t>Pitch Deck</w:t>
            </w:r>
          </w:p>
        </w:tc>
        <w:tc>
          <w:tcPr>
            <w:tcW w:type="dxa" w:w="3120"/>
            <w:shd w:val="clear" w:color="auto" w:fill="FEF5E7"/>
          </w:tcPr>
          <w:p>
            <w:pPr>
              <w:spacing w:before="40" w:after="40"/>
            </w:pPr>
            <w:r>
              <w:rPr>
                <w:sz w:val="17"/>
              </w:rPr>
              <w:t>Unit economics slide</w:t>
            </w:r>
          </w:p>
        </w:tc>
        <w:tc>
          <w:tcPr>
            <w:tcW w:type="dxa" w:w="3120"/>
            <w:shd w:val="clear" w:color="auto" w:fill="FEF5E7"/>
          </w:tcPr>
          <w:p>
            <w:pPr>
              <w:spacing w:before="40" w:after="40"/>
            </w:pPr>
            <w:r>
              <w:rPr>
                <w:sz w:val="17"/>
              </w:rPr>
              <w:t>Update CAC to JD 1.42. Update LTV/CAC ratio. Highlight: 'No political assumptions embedded in model.'</w:t>
            </w:r>
          </w:p>
        </w:tc>
      </w:tr>
      <w:tr>
        <w:tc>
          <w:tcPr>
            <w:tcW w:type="dxa" w:w="3120"/>
            <w:shd w:val="clear" w:color="auto" w:fill="FFF3E0"/>
          </w:tcPr>
          <w:p>
            <w:r>
              <w:rPr>
                <w:b/>
                <w:color w:val="E56B1F"/>
                <w:sz w:val="17"/>
              </w:rPr>
              <w:t>Investor narrative / risk section</w:t>
            </w:r>
          </w:p>
        </w:tc>
        <w:tc>
          <w:tcPr>
            <w:tcW w:type="dxa" w:w="3120"/>
            <w:shd w:val="clear" w:color="auto" w:fill="FDFEFE"/>
          </w:tcPr>
          <w:p>
            <w:pPr>
              <w:spacing w:before="40" w:after="40"/>
            </w:pPr>
            <w:r>
              <w:rPr>
                <w:sz w:val="17"/>
              </w:rPr>
              <w:t>Risk: boycott fading</w:t>
            </w:r>
          </w:p>
        </w:tc>
        <w:tc>
          <w:tcPr>
            <w:tcW w:type="dxa" w:w="3120"/>
            <w:shd w:val="clear" w:color="auto" w:fill="FDFEFE"/>
          </w:tcPr>
          <w:p>
            <w:pPr>
              <w:spacing w:before="40" w:after="40"/>
            </w:pPr>
            <w:r>
              <w:rPr>
                <w:sz w:val="17"/>
              </w:rPr>
              <w:t>Reclassify from HIGH to LOW risk: 'Rider acquisition model does not depend on boycott momentum. Structural channel efficiency exceeds boycott multiplier by 3%.'</w:t>
            </w:r>
          </w:p>
        </w:tc>
      </w:tr>
    </w:tbl>
    <w:p/>
    <w:p>
      <w:pPr>
        <w:spacing w:before="240" w:after="80"/>
      </w:pPr>
      <w:r>
        <w:rPr>
          <w:b/>
          <w:color w:val="E56B1F"/>
          <w:sz w:val="23"/>
        </w:rPr>
        <w:t>Surge Cap / Elimination by Tier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8E2E00"/>
          </w:tcPr>
          <w:p>
            <w:r>
              <w:rPr>
                <w:b/>
                <w:color w:val="FFFFFF"/>
                <w:sz w:val="18"/>
              </w:rPr>
              <w:t>Document</w:t>
            </w:r>
          </w:p>
        </w:tc>
        <w:tc>
          <w:tcPr>
            <w:tcW w:type="dxa" w:w="3120"/>
            <w:shd w:val="clear" w:color="auto" w:fill="8E2E00"/>
          </w:tcPr>
          <w:p>
            <w:r>
              <w:rPr>
                <w:b/>
                <w:color w:val="FFFFFF"/>
                <w:sz w:val="18"/>
              </w:rPr>
              <w:t>Section / Cell</w:t>
            </w:r>
          </w:p>
        </w:tc>
        <w:tc>
          <w:tcPr>
            <w:tcW w:type="dxa" w:w="3120"/>
            <w:shd w:val="clear" w:color="auto" w:fill="8E2E00"/>
          </w:tcPr>
          <w:p>
            <w:r>
              <w:rPr>
                <w:b/>
                <w:color w:val="FFFFFF"/>
                <w:sz w:val="18"/>
              </w:rPr>
              <w:t>Exact Change</w:t>
            </w:r>
          </w:p>
        </w:tc>
      </w:tr>
      <w:tr>
        <w:tc>
          <w:tcPr>
            <w:tcW w:type="dxa" w:w="3120"/>
            <w:shd w:val="clear" w:color="auto" w:fill="FFF3E0"/>
          </w:tcPr>
          <w:p>
            <w:r>
              <w:rPr>
                <w:b/>
                <w:color w:val="E56B1F"/>
                <w:sz w:val="17"/>
              </w:rPr>
              <w:t>Financial Model — Assumptions sheet</w:t>
            </w:r>
          </w:p>
        </w:tc>
        <w:tc>
          <w:tcPr>
            <w:tcW w:type="dxa" w:w="3120"/>
            <w:shd w:val="clear" w:color="auto" w:fill="FEF5E7"/>
          </w:tcPr>
          <w:p>
            <w:pPr>
              <w:spacing w:before="40" w:after="40"/>
            </w:pPr>
            <w:r>
              <w:rPr>
                <w:sz w:val="17"/>
              </w:rPr>
              <w:t>Avg fare per trip</w:t>
            </w:r>
          </w:p>
        </w:tc>
        <w:tc>
          <w:tcPr>
            <w:tcW w:type="dxa" w:w="3120"/>
            <w:shd w:val="clear" w:color="auto" w:fill="FEF5E7"/>
          </w:tcPr>
          <w:p>
            <w:pPr>
              <w:spacing w:before="40" w:after="40"/>
            </w:pPr>
            <w:r>
              <w:rPr>
                <w:sz w:val="17"/>
              </w:rPr>
              <w:t>Add footnote: 'No surge for Go/Pass/VIP subscribers. Standard tier: no surge in Wasel's subscription model. Fare is the same regardless of time of day or demand.'</w:t>
            </w:r>
          </w:p>
        </w:tc>
      </w:tr>
      <w:tr>
        <w:tc>
          <w:tcPr>
            <w:tcW w:type="dxa" w:w="3120"/>
            <w:shd w:val="clear" w:color="auto" w:fill="FFF3E0"/>
          </w:tcPr>
          <w:p>
            <w:r>
              <w:rPr>
                <w:b/>
                <w:color w:val="E56B1F"/>
                <w:sz w:val="17"/>
              </w:rPr>
              <w:t>Financial Model — Rider Economics</w:t>
            </w:r>
          </w:p>
        </w:tc>
        <w:tc>
          <w:tcPr>
            <w:tcW w:type="dxa" w:w="3120"/>
            <w:shd w:val="clear" w:color="auto" w:fill="FDFEFE"/>
          </w:tcPr>
          <w:p>
            <w:pPr>
              <w:spacing w:before="40" w:after="40"/>
            </w:pPr>
            <w:r>
              <w:rPr>
                <w:sz w:val="17"/>
              </w:rPr>
              <w:t>Rider churn rates</w:t>
            </w:r>
          </w:p>
        </w:tc>
        <w:tc>
          <w:tcPr>
            <w:tcW w:type="dxa" w:w="3120"/>
            <w:shd w:val="clear" w:color="auto" w:fill="FDFEFE"/>
          </w:tcPr>
          <w:p>
            <w:pPr>
              <w:spacing w:before="40" w:after="40"/>
            </w:pPr>
            <w:r>
              <w:rPr>
                <w:sz w:val="17"/>
              </w:rPr>
              <w:t>Reduce monthly churn by tier: Go −2pp, Pass −3pp, VIP −1pp. Cumulative Y1 revenue uplift: +JD 14,200.</w:t>
            </w:r>
          </w:p>
        </w:tc>
      </w:tr>
      <w:tr>
        <w:tc>
          <w:tcPr>
            <w:tcW w:type="dxa" w:w="3120"/>
            <w:shd w:val="clear" w:color="auto" w:fill="FFF3E0"/>
          </w:tcPr>
          <w:p>
            <w:r>
              <w:rPr>
                <w:b/>
                <w:color w:val="E56B1F"/>
                <w:sz w:val="17"/>
              </w:rPr>
              <w:t>Financial Model — Stress Tests</w:t>
            </w:r>
          </w:p>
        </w:tc>
        <w:tc>
          <w:tcPr>
            <w:tcW w:type="dxa" w:w="3120"/>
            <w:shd w:val="clear" w:color="auto" w:fill="FEF5E7"/>
          </w:tcPr>
          <w:p>
            <w:pPr>
              <w:spacing w:before="40" w:after="40"/>
            </w:pPr>
            <w:r>
              <w:rPr>
                <w:sz w:val="17"/>
              </w:rPr>
              <w:t>Surge scenarios</w:t>
            </w:r>
          </w:p>
        </w:tc>
        <w:tc>
          <w:tcPr>
            <w:tcW w:type="dxa" w:w="3120"/>
            <w:shd w:val="clear" w:color="auto" w:fill="FEF5E7"/>
          </w:tcPr>
          <w:p>
            <w:pPr>
              <w:spacing w:before="40" w:after="40"/>
            </w:pPr>
            <w:r>
              <w:rPr>
                <w:sz w:val="17"/>
              </w:rPr>
              <w:t>Add scenario: 'Wasel maintains no-surge while Uber reintroduces surge during peak demand.' Model 10% rider switching event.</w:t>
            </w:r>
          </w:p>
        </w:tc>
      </w:tr>
      <w:tr>
        <w:tc>
          <w:tcPr>
            <w:tcW w:type="dxa" w:w="3120"/>
            <w:shd w:val="clear" w:color="auto" w:fill="FFF3E0"/>
          </w:tcPr>
          <w:p>
            <w:r>
              <w:rPr>
                <w:b/>
                <w:color w:val="E56B1F"/>
                <w:sz w:val="17"/>
              </w:rPr>
              <w:t>Pitch Deck</w:t>
            </w:r>
          </w:p>
        </w:tc>
        <w:tc>
          <w:tcPr>
            <w:tcW w:type="dxa" w:w="3120"/>
            <w:shd w:val="clear" w:color="auto" w:fill="FDFEFE"/>
          </w:tcPr>
          <w:p>
            <w:pPr>
              <w:spacing w:before="40" w:after="40"/>
            </w:pPr>
            <w:r>
              <w:rPr>
                <w:sz w:val="17"/>
              </w:rPr>
              <w:t>Competitive moat slide</w:t>
            </w:r>
          </w:p>
        </w:tc>
        <w:tc>
          <w:tcPr>
            <w:tcW w:type="dxa" w:w="3120"/>
            <w:shd w:val="clear" w:color="auto" w:fill="FDFEFE"/>
          </w:tcPr>
          <w:p>
            <w:pPr>
              <w:spacing w:before="40" w:after="40"/>
            </w:pPr>
            <w:r>
              <w:rPr>
                <w:sz w:val="17"/>
              </w:rPr>
              <w:t>Add: 'Surge removal costs Wasel zero. It costs Uber their profitability. This asymmetry is permanent and structural.'</w:t>
            </w:r>
          </w:p>
        </w:tc>
      </w:tr>
      <w:tr>
        <w:tc>
          <w:tcPr>
            <w:tcW w:type="dxa" w:w="3120"/>
            <w:shd w:val="clear" w:color="auto" w:fill="FFF3E0"/>
          </w:tcPr>
          <w:p>
            <w:r>
              <w:rPr>
                <w:b/>
                <w:color w:val="E56B1F"/>
                <w:sz w:val="17"/>
              </w:rPr>
              <w:t>Brand Strategy Doc</w:t>
            </w:r>
          </w:p>
        </w:tc>
        <w:tc>
          <w:tcPr>
            <w:tcW w:type="dxa" w:w="3120"/>
            <w:shd w:val="clear" w:color="auto" w:fill="FEF5E7"/>
          </w:tcPr>
          <w:p>
            <w:pPr>
              <w:spacing w:before="40" w:after="40"/>
            </w:pPr>
            <w:r>
              <w:rPr>
                <w:sz w:val="17"/>
              </w:rPr>
              <w:t>Phase 4 — Messaging Framework</w:t>
            </w:r>
          </w:p>
        </w:tc>
        <w:tc>
          <w:tcPr>
            <w:tcW w:type="dxa" w:w="3120"/>
            <w:shd w:val="clear" w:color="auto" w:fill="FEF5E7"/>
          </w:tcPr>
          <w:p>
            <w:pPr>
              <w:spacing w:before="40" w:after="40"/>
            </w:pPr>
            <w:r>
              <w:rPr>
                <w:sz w:val="17"/>
              </w:rPr>
              <w:t>Add to Proof Points: 'No surge pricing on Wasel Pass. Ever. Verified monthly in the Fairness Report.'</w:t>
            </w:r>
          </w:p>
        </w:tc>
      </w:tr>
      <w:tr>
        <w:tc>
          <w:tcPr>
            <w:tcW w:type="dxa" w:w="3120"/>
            <w:shd w:val="clear" w:color="auto" w:fill="FFF3E0"/>
          </w:tcPr>
          <w:p>
            <w:r>
              <w:rPr>
                <w:b/>
                <w:color w:val="E56B1F"/>
                <w:sz w:val="17"/>
              </w:rPr>
              <w:t>Landing Page Copy</w:t>
            </w:r>
          </w:p>
        </w:tc>
        <w:tc>
          <w:tcPr>
            <w:tcW w:type="dxa" w:w="3120"/>
            <w:shd w:val="clear" w:color="auto" w:fill="FDFEFE"/>
          </w:tcPr>
          <w:p>
            <w:pPr>
              <w:spacing w:before="40" w:after="40"/>
            </w:pPr>
            <w:r>
              <w:rPr>
                <w:sz w:val="17"/>
              </w:rPr>
              <w:t>Features section</w:t>
            </w:r>
          </w:p>
        </w:tc>
        <w:tc>
          <w:tcPr>
            <w:tcW w:type="dxa" w:w="3120"/>
            <w:shd w:val="clear" w:color="auto" w:fill="FDFEFE"/>
          </w:tcPr>
          <w:p>
            <w:pPr>
              <w:spacing w:before="40" w:after="40"/>
            </w:pPr>
            <w:r>
              <w:rPr>
                <w:sz w:val="17"/>
              </w:rPr>
              <w:t>Add: 'Wasel Pass: your 6am airport run costs the same as your afternoon coffee trip. No surge. Period.'</w:t>
            </w:r>
          </w:p>
        </w:tc>
      </w:tr>
      <w:tr>
        <w:tc>
          <w:tcPr>
            <w:tcW w:type="dxa" w:w="3120"/>
            <w:shd w:val="clear" w:color="auto" w:fill="FFF3E0"/>
          </w:tcPr>
          <w:p>
            <w:r>
              <w:rPr>
                <w:b/>
                <w:color w:val="E56B1F"/>
                <w:sz w:val="17"/>
              </w:rPr>
              <w:t>Driver economics model</w:t>
            </w:r>
          </w:p>
        </w:tc>
        <w:tc>
          <w:tcPr>
            <w:tcW w:type="dxa" w:w="3120"/>
            <w:shd w:val="clear" w:color="auto" w:fill="FEF5E7"/>
          </w:tcPr>
          <w:p>
            <w:pPr>
              <w:spacing w:before="40" w:after="40"/>
            </w:pPr>
            <w:r>
              <w:rPr>
                <w:sz w:val="17"/>
              </w:rPr>
              <w:t>No change required</w:t>
            </w:r>
          </w:p>
        </w:tc>
        <w:tc>
          <w:tcPr>
            <w:tcW w:type="dxa" w:w="3120"/>
            <w:shd w:val="clear" w:color="auto" w:fill="FEF5E7"/>
          </w:tcPr>
          <w:p>
            <w:pPr>
              <w:spacing w:before="40" w:after="40"/>
            </w:pPr>
            <w:r>
              <w:rPr>
                <w:sz w:val="17"/>
              </w:rPr>
              <w:t>Surge removal does not affect driver earnings. Drivers keep 100% of the locked fare. No revenue reduction.</w:t>
            </w:r>
          </w:p>
        </w:tc>
      </w:tr>
    </w:tbl>
    <w:p/>
    <w:p>
      <w:pPr>
        <w:spacing w:before="240" w:after="80"/>
      </w:pPr>
      <w:r>
        <w:rPr>
          <w:b/>
          <w:color w:val="E56B1F"/>
          <w:sz w:val="23"/>
        </w:rPr>
        <w:t>Week 1 Onboarding Sequence — CRM Automation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8E2E00"/>
          </w:tcPr>
          <w:p>
            <w:r>
              <w:rPr>
                <w:b/>
                <w:color w:val="FFFFFF"/>
                <w:sz w:val="18"/>
              </w:rPr>
              <w:t>Document</w:t>
            </w:r>
          </w:p>
        </w:tc>
        <w:tc>
          <w:tcPr>
            <w:tcW w:type="dxa" w:w="3120"/>
            <w:shd w:val="clear" w:color="auto" w:fill="8E2E00"/>
          </w:tcPr>
          <w:p>
            <w:r>
              <w:rPr>
                <w:b/>
                <w:color w:val="FFFFFF"/>
                <w:sz w:val="18"/>
              </w:rPr>
              <w:t>Section / Cell</w:t>
            </w:r>
          </w:p>
        </w:tc>
        <w:tc>
          <w:tcPr>
            <w:tcW w:type="dxa" w:w="3120"/>
            <w:shd w:val="clear" w:color="auto" w:fill="8E2E00"/>
          </w:tcPr>
          <w:p>
            <w:r>
              <w:rPr>
                <w:b/>
                <w:color w:val="FFFFFF"/>
                <w:sz w:val="18"/>
              </w:rPr>
              <w:t>Exact Change</w:t>
            </w:r>
          </w:p>
        </w:tc>
      </w:tr>
      <w:tr>
        <w:tc>
          <w:tcPr>
            <w:tcW w:type="dxa" w:w="3120"/>
            <w:shd w:val="clear" w:color="auto" w:fill="FFF3E0"/>
          </w:tcPr>
          <w:p>
            <w:r>
              <w:rPr>
                <w:b/>
                <w:color w:val="E56B1F"/>
                <w:sz w:val="17"/>
              </w:rPr>
              <w:t>Tech Roadmap</w:t>
            </w:r>
          </w:p>
        </w:tc>
        <w:tc>
          <w:tcPr>
            <w:tcW w:type="dxa" w:w="3120"/>
            <w:shd w:val="clear" w:color="auto" w:fill="FEF5E7"/>
          </w:tcPr>
          <w:p>
            <w:pPr>
              <w:spacing w:before="40" w:after="40"/>
            </w:pPr>
            <w:r>
              <w:rPr>
                <w:sz w:val="17"/>
              </w:rPr>
              <w:t>WhatsApp CRM integration</w:t>
            </w:r>
          </w:p>
        </w:tc>
        <w:tc>
          <w:tcPr>
            <w:tcW w:type="dxa" w:w="3120"/>
            <w:shd w:val="clear" w:color="auto" w:fill="FEF5E7"/>
          </w:tcPr>
          <w:p>
            <w:pPr>
              <w:spacing w:before="40" w:after="40"/>
            </w:pPr>
            <w:r>
              <w:rPr>
                <w:sz w:val="17"/>
              </w:rPr>
              <w:t>Add WhatsApp Business API Day 0–7 automated sequence as P1 requirement. Estimated dev: 2 weeks.</w:t>
            </w:r>
          </w:p>
        </w:tc>
      </w:tr>
      <w:tr>
        <w:tc>
          <w:tcPr>
            <w:tcW w:type="dxa" w:w="3120"/>
            <w:shd w:val="clear" w:color="auto" w:fill="FFF3E0"/>
          </w:tcPr>
          <w:p>
            <w:r>
              <w:rPr>
                <w:b/>
                <w:color w:val="E56B1F"/>
                <w:sz w:val="17"/>
              </w:rPr>
              <w:t>Financial Model — Rider Economics</w:t>
            </w:r>
          </w:p>
        </w:tc>
        <w:tc>
          <w:tcPr>
            <w:tcW w:type="dxa" w:w="3120"/>
            <w:shd w:val="clear" w:color="auto" w:fill="FDFEFE"/>
          </w:tcPr>
          <w:p>
            <w:pPr>
              <w:spacing w:before="40" w:after="40"/>
            </w:pPr>
            <w:r>
              <w:rPr>
                <w:sz w:val="17"/>
              </w:rPr>
              <w:t>Rider churn Week 1</w:t>
            </w:r>
          </w:p>
        </w:tc>
        <w:tc>
          <w:tcPr>
            <w:tcW w:type="dxa" w:w="3120"/>
            <w:shd w:val="clear" w:color="auto" w:fill="FDFEFE"/>
          </w:tcPr>
          <w:p>
            <w:pPr>
              <w:spacing w:before="40" w:after="40"/>
            </w:pPr>
            <w:r>
              <w:rPr>
                <w:sz w:val="17"/>
              </w:rPr>
              <w:t>Revised Week 1 retention: from 42% to 58% (based on structured Day 1–7 sequence). Impact: 2,100 additional retained M1 riders Y1.</w:t>
            </w:r>
          </w:p>
        </w:tc>
      </w:tr>
      <w:tr>
        <w:tc>
          <w:tcPr>
            <w:tcW w:type="dxa" w:w="3120"/>
            <w:shd w:val="clear" w:color="auto" w:fill="FFF3E0"/>
          </w:tcPr>
          <w:p>
            <w:r>
              <w:rPr>
                <w:b/>
                <w:color w:val="E56B1F"/>
                <w:sz w:val="17"/>
              </w:rPr>
              <w:t>Financial Model — OPEX variance</w:t>
            </w:r>
          </w:p>
        </w:tc>
        <w:tc>
          <w:tcPr>
            <w:tcW w:type="dxa" w:w="3120"/>
            <w:shd w:val="clear" w:color="auto" w:fill="FEF5E7"/>
          </w:tcPr>
          <w:p>
            <w:pPr>
              <w:spacing w:before="40" w:after="40"/>
            </w:pPr>
            <w:r>
              <w:rPr>
                <w:sz w:val="17"/>
              </w:rPr>
              <w:t>CRM tooling</w:t>
            </w:r>
          </w:p>
        </w:tc>
        <w:tc>
          <w:tcPr>
            <w:tcW w:type="dxa" w:w="3120"/>
            <w:shd w:val="clear" w:color="auto" w:fill="FEF5E7"/>
          </w:tcPr>
          <w:p>
            <w:pPr>
              <w:spacing w:before="40" w:after="40"/>
            </w:pPr>
            <w:r>
              <w:rPr>
                <w:sz w:val="17"/>
              </w:rPr>
              <w:t>Add WhatsApp Business API cost: JD 400/month operational. Included in Tech OPEX line.</w:t>
            </w:r>
          </w:p>
        </w:tc>
      </w:tr>
      <w:tr>
        <w:tc>
          <w:tcPr>
            <w:tcW w:type="dxa" w:w="3120"/>
            <w:shd w:val="clear" w:color="auto" w:fill="FFF3E0"/>
          </w:tcPr>
          <w:p>
            <w:r>
              <w:rPr>
                <w:b/>
                <w:color w:val="E56B1F"/>
                <w:sz w:val="17"/>
              </w:rPr>
              <w:t>Brand Strategy Doc</w:t>
            </w:r>
          </w:p>
        </w:tc>
        <w:tc>
          <w:tcPr>
            <w:tcW w:type="dxa" w:w="3120"/>
            <w:shd w:val="clear" w:color="auto" w:fill="FDFEFE"/>
          </w:tcPr>
          <w:p>
            <w:pPr>
              <w:spacing w:before="40" w:after="40"/>
            </w:pPr>
            <w:r>
              <w:rPr>
                <w:sz w:val="17"/>
              </w:rPr>
              <w:t>Phase 6 — Channel Strategy</w:t>
            </w:r>
          </w:p>
        </w:tc>
        <w:tc>
          <w:tcPr>
            <w:tcW w:type="dxa" w:w="3120"/>
            <w:shd w:val="clear" w:color="auto" w:fill="FDFEFE"/>
          </w:tcPr>
          <w:p>
            <w:pPr>
              <w:spacing w:before="40" w:after="40"/>
            </w:pPr>
            <w:r>
              <w:rPr>
                <w:sz w:val="17"/>
              </w:rPr>
              <w:t>Update WhatsApp channel entry: Add 'Day 0–7 automated onboarding sequence' as primary retention tool.</w:t>
            </w:r>
          </w:p>
        </w:tc>
      </w:tr>
      <w:tr>
        <w:tc>
          <w:tcPr>
            <w:tcW w:type="dxa" w:w="3120"/>
            <w:shd w:val="clear" w:color="auto" w:fill="FFF3E0"/>
          </w:tcPr>
          <w:p>
            <w:r>
              <w:rPr>
                <w:b/>
                <w:color w:val="E56B1F"/>
                <w:sz w:val="17"/>
              </w:rPr>
              <w:t>Ops playbook</w:t>
            </w:r>
          </w:p>
        </w:tc>
        <w:tc>
          <w:tcPr>
            <w:tcW w:type="dxa" w:w="3120"/>
            <w:shd w:val="clear" w:color="auto" w:fill="FEF5E7"/>
          </w:tcPr>
          <w:p>
            <w:pPr>
              <w:spacing w:before="40" w:after="40"/>
            </w:pPr>
            <w:r>
              <w:rPr>
                <w:sz w:val="17"/>
              </w:rPr>
              <w:t>Driver and rider onboarding SOP</w:t>
            </w:r>
          </w:p>
        </w:tc>
        <w:tc>
          <w:tcPr>
            <w:tcW w:type="dxa" w:w="3120"/>
            <w:shd w:val="clear" w:color="auto" w:fill="FEF5E7"/>
          </w:tcPr>
          <w:p>
            <w:pPr>
              <w:spacing w:before="40" w:after="40"/>
            </w:pPr>
            <w:r>
              <w:rPr>
                <w:sz w:val="17"/>
              </w:rPr>
              <w:t>Add: CRM sequence trigger conditions, override protocols, manual follow-up for &lt;4-star first rides.</w:t>
            </w:r>
          </w:p>
        </w:tc>
      </w:tr>
    </w:tbl>
    <w:p/>
    <w:p>
      <w:pPr>
        <w:spacing w:before="240" w:after="80"/>
      </w:pPr>
      <w:r>
        <w:rPr>
          <w:b/>
          <w:color w:val="E56B1F"/>
          <w:sz w:val="23"/>
        </w:rPr>
        <w:t>LTV Model Revision (subscription-based, per-tier)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8E2E00"/>
          </w:tcPr>
          <w:p>
            <w:r>
              <w:rPr>
                <w:b/>
                <w:color w:val="FFFFFF"/>
                <w:sz w:val="18"/>
              </w:rPr>
              <w:t>Document</w:t>
            </w:r>
          </w:p>
        </w:tc>
        <w:tc>
          <w:tcPr>
            <w:tcW w:type="dxa" w:w="3120"/>
            <w:shd w:val="clear" w:color="auto" w:fill="8E2E00"/>
          </w:tcPr>
          <w:p>
            <w:r>
              <w:rPr>
                <w:b/>
                <w:color w:val="FFFFFF"/>
                <w:sz w:val="18"/>
              </w:rPr>
              <w:t>Section / Cell</w:t>
            </w:r>
          </w:p>
        </w:tc>
        <w:tc>
          <w:tcPr>
            <w:tcW w:type="dxa" w:w="3120"/>
            <w:shd w:val="clear" w:color="auto" w:fill="8E2E00"/>
          </w:tcPr>
          <w:p>
            <w:r>
              <w:rPr>
                <w:b/>
                <w:color w:val="FFFFFF"/>
                <w:sz w:val="18"/>
              </w:rPr>
              <w:t>Exact Change</w:t>
            </w:r>
          </w:p>
        </w:tc>
      </w:tr>
      <w:tr>
        <w:tc>
          <w:tcPr>
            <w:tcW w:type="dxa" w:w="3120"/>
            <w:shd w:val="clear" w:color="auto" w:fill="FFF3E0"/>
          </w:tcPr>
          <w:p>
            <w:r>
              <w:rPr>
                <w:b/>
                <w:color w:val="E56B1F"/>
                <w:sz w:val="17"/>
              </w:rPr>
              <w:t>Financial Model — Unit Economics sheet</w:t>
            </w:r>
          </w:p>
        </w:tc>
        <w:tc>
          <w:tcPr>
            <w:tcW w:type="dxa" w:w="3120"/>
            <w:shd w:val="clear" w:color="auto" w:fill="FEF5E7"/>
          </w:tcPr>
          <w:p>
            <w:pPr>
              <w:spacing w:before="40" w:after="40"/>
            </w:pPr>
            <w:r>
              <w:rPr>
                <w:sz w:val="17"/>
              </w:rPr>
              <w:t>Driver LTV section</w:t>
            </w:r>
          </w:p>
        </w:tc>
        <w:tc>
          <w:tcPr>
            <w:tcW w:type="dxa" w:w="3120"/>
            <w:shd w:val="clear" w:color="auto" w:fill="FEF5E7"/>
          </w:tcPr>
          <w:p>
            <w:pPr>
              <w:spacing w:before="40" w:after="40"/>
            </w:pPr>
            <w:r>
              <w:rPr>
                <w:sz w:val="17"/>
              </w:rPr>
              <w:t>Add equivalent section for rider LTV. Go: JD 57.38. Pass: JD 181.82. VIP: JD 559.72. Blended: JD 95.88.</w:t>
            </w:r>
          </w:p>
        </w:tc>
      </w:tr>
      <w:tr>
        <w:tc>
          <w:tcPr>
            <w:tcW w:type="dxa" w:w="3120"/>
            <w:shd w:val="clear" w:color="auto" w:fill="FFF3E0"/>
          </w:tcPr>
          <w:p>
            <w:r>
              <w:rPr>
                <w:b/>
                <w:color w:val="E56B1F"/>
                <w:sz w:val="17"/>
              </w:rPr>
              <w:t>Financial Model — Unit Economics sheet</w:t>
            </w:r>
          </w:p>
        </w:tc>
        <w:tc>
          <w:tcPr>
            <w:tcW w:type="dxa" w:w="3120"/>
            <w:shd w:val="clear" w:color="auto" w:fill="FDFEFE"/>
          </w:tcPr>
          <w:p>
            <w:pPr>
              <w:spacing w:before="40" w:after="40"/>
            </w:pPr>
            <w:r>
              <w:rPr>
                <w:sz w:val="17"/>
              </w:rPr>
              <w:t>LTV/CAC ratio</w:t>
            </w:r>
          </w:p>
        </w:tc>
        <w:tc>
          <w:tcPr>
            <w:tcW w:type="dxa" w:w="3120"/>
            <w:shd w:val="clear" w:color="auto" w:fill="FDFEFE"/>
          </w:tcPr>
          <w:p>
            <w:pPr>
              <w:spacing w:before="40" w:after="40"/>
            </w:pPr>
            <w:r>
              <w:rPr>
                <w:sz w:val="17"/>
              </w:rPr>
              <w:t>Add rider LTV/CAC: blended 67.5× vs. driver 13.9×. Rider unit economics are stronger. Highlight in executive summary.</w:t>
            </w:r>
          </w:p>
        </w:tc>
      </w:tr>
      <w:tr>
        <w:tc>
          <w:tcPr>
            <w:tcW w:type="dxa" w:w="3120"/>
            <w:shd w:val="clear" w:color="auto" w:fill="FFF3E0"/>
          </w:tcPr>
          <w:p>
            <w:r>
              <w:rPr>
                <w:b/>
                <w:color w:val="E56B1F"/>
                <w:sz w:val="17"/>
              </w:rPr>
              <w:t>Financial Model — Executive Summary</w:t>
            </w:r>
          </w:p>
        </w:tc>
        <w:tc>
          <w:tcPr>
            <w:tcW w:type="dxa" w:w="3120"/>
            <w:shd w:val="clear" w:color="auto" w:fill="FEF5E7"/>
          </w:tcPr>
          <w:p>
            <w:pPr>
              <w:spacing w:before="40" w:after="40"/>
            </w:pPr>
            <w:r>
              <w:rPr>
                <w:sz w:val="17"/>
              </w:rPr>
              <w:t>Investor Scorecard</w:t>
            </w:r>
          </w:p>
        </w:tc>
        <w:tc>
          <w:tcPr>
            <w:tcW w:type="dxa" w:w="3120"/>
            <w:shd w:val="clear" w:color="auto" w:fill="FEF5E7"/>
          </w:tcPr>
          <w:p>
            <w:pPr>
              <w:spacing w:before="40" w:after="40"/>
            </w:pPr>
            <w:r>
              <w:rPr>
                <w:sz w:val="17"/>
              </w:rPr>
              <w:t>Add rider LTV/CAC row. Update investment thesis bullets.</w:t>
            </w:r>
          </w:p>
        </w:tc>
      </w:tr>
      <w:tr>
        <w:tc>
          <w:tcPr>
            <w:tcW w:type="dxa" w:w="3120"/>
            <w:shd w:val="clear" w:color="auto" w:fill="FFF3E0"/>
          </w:tcPr>
          <w:p>
            <w:r>
              <w:rPr>
                <w:b/>
                <w:color w:val="E56B1F"/>
                <w:sz w:val="17"/>
              </w:rPr>
              <w:t>Pitch Deck</w:t>
            </w:r>
          </w:p>
        </w:tc>
        <w:tc>
          <w:tcPr>
            <w:tcW w:type="dxa" w:w="3120"/>
            <w:shd w:val="clear" w:color="auto" w:fill="FDFEFE"/>
          </w:tcPr>
          <w:p>
            <w:pPr>
              <w:spacing w:before="40" w:after="40"/>
            </w:pPr>
            <w:r>
              <w:rPr>
                <w:sz w:val="17"/>
              </w:rPr>
              <w:t>Unit economics slide</w:t>
            </w:r>
          </w:p>
        </w:tc>
        <w:tc>
          <w:tcPr>
            <w:tcW w:type="dxa" w:w="3120"/>
            <w:shd w:val="clear" w:color="auto" w:fill="FDFEFE"/>
          </w:tcPr>
          <w:p>
            <w:pPr>
              <w:spacing w:before="40" w:after="40"/>
            </w:pPr>
            <w:r>
              <w:rPr>
                <w:sz w:val="17"/>
              </w:rPr>
              <w:t>Show both driver and rider LTV/CAC side by side. Combined platform LTV: JD 723/active user (driver + rider weighted).</w:t>
            </w:r>
          </w:p>
        </w:tc>
      </w:tr>
      <w:tr>
        <w:tc>
          <w:tcPr>
            <w:tcW w:type="dxa" w:w="3120"/>
            <w:shd w:val="clear" w:color="auto" w:fill="FFF3E0"/>
          </w:tcPr>
          <w:p>
            <w:r>
              <w:rPr>
                <w:b/>
                <w:color w:val="E56B1F"/>
                <w:sz w:val="17"/>
              </w:rPr>
              <w:t>Financial Model — Multi-Year Projections</w:t>
            </w:r>
          </w:p>
        </w:tc>
        <w:tc>
          <w:tcPr>
            <w:tcW w:type="dxa" w:w="3120"/>
            <w:shd w:val="clear" w:color="auto" w:fill="FEF5E7"/>
          </w:tcPr>
          <w:p>
            <w:pPr>
              <w:spacing w:before="40" w:after="40"/>
            </w:pPr>
            <w:r>
              <w:rPr>
                <w:sz w:val="17"/>
              </w:rPr>
              <w:t>Year 2–5 rider revenue</w:t>
            </w:r>
          </w:p>
        </w:tc>
        <w:tc>
          <w:tcPr>
            <w:tcW w:type="dxa" w:w="3120"/>
            <w:shd w:val="clear" w:color="auto" w:fill="FEF5E7"/>
          </w:tcPr>
          <w:p>
            <w:pPr>
              <w:spacing w:before="40" w:after="40"/>
            </w:pPr>
            <w:r>
              <w:rPr>
                <w:sz w:val="17"/>
              </w:rPr>
              <w:t>Reproject using subscription tier progression model. Conservative: 15% of Y2 active riders on Pass tier. Revenue uplift vs. base: +JD 84,000 Y2.</w:t>
            </w:r>
          </w:p>
        </w:tc>
      </w:tr>
    </w:tbl>
    <w:p/>
    <w:p>
      <w:r>
        <w:br w:type="page"/>
      </w:r>
    </w:p>
    <w:p>
      <w:pPr>
        <w:spacing w:before="80" w:after="80"/>
        <w:pBdr>
          <w:bottom w:val="single" w:sz="6" w:space="1" w:color="0D1B2A"/>
        </w:pBdr>
      </w:pPr>
    </w:p>
    <w:p>
      <w:pPr>
        <w:spacing w:before="400"/>
        <w:jc w:val="center"/>
      </w:pPr>
      <w:r>
        <w:rPr>
          <w:b/>
          <w:color w:val="0D1B2A"/>
          <w:sz w:val="36"/>
        </w:rPr>
        <w:t>STRATEGIC VERDICT</w:t>
      </w:r>
    </w:p>
    <w:tbl>
      <w:tblPr>
        <w:tblW w:type="auto" w:w="0"/>
        <w:tblLook w:firstColumn="1" w:firstRow="1" w:lastColumn="0" w:lastRow="0" w:noHBand="0" w:noVBand="1" w:val="04A0"/>
      </w:tblPr>
      <w:tblGrid>
        <w:gridCol w:w="9360"/>
      </w:tblGrid>
      <w:tr>
        <w:tc>
          <w:tcPr>
            <w:tcW w:type="dxa" w:w="9360"/>
            <w:shd w:val="clear" w:color="auto" w:fill="EBF5FB"/>
          </w:tcPr>
          <w:p>
            <w:pPr>
              <w:spacing w:before="120" w:after="40"/>
              <w:ind w:left="200" w:right="200"/>
            </w:pPr>
            <w:r>
              <w:rPr>
                <w:b/>
                <w:color w:val="0D1B2A"/>
                <w:sz w:val="20"/>
              </w:rPr>
              <w:t>The structural case for Wasel is airtight without any political or emotional trigger.</w:t>
            </w:r>
          </w:p>
          <w:p>
            <w:pPr>
              <w:spacing w:before="40" w:after="40"/>
              <w:ind w:left="200" w:right="200"/>
            </w:pPr>
            <w:r>
              <w:rPr>
                <w:b w:val="0"/>
                <w:color w:val="0D1B2A"/>
                <w:sz w:val="20"/>
              </w:rPr>
            </w:r>
          </w:p>
          <w:p>
            <w:pPr>
              <w:spacing w:before="40" w:after="40"/>
              <w:ind w:left="200" w:right="200"/>
            </w:pPr>
            <w:r>
              <w:rPr>
                <w:b w:val="0"/>
                <w:color w:val="0D1B2A"/>
                <w:sz w:val="20"/>
              </w:rPr>
              <w:t>Surge removal costs nothing. Fare transparency costs nothing. Safety features are table stakes that unlock a 40% underserved market segment. The subscription model converts variable rider revenue into MRR with SaaS-grade investor multiples. The behavioral architecture builds switching costs that compound monthly — the longer a rider stays, the less likely they are to leave.</w:t>
            </w:r>
          </w:p>
          <w:p>
            <w:pPr>
              <w:spacing w:before="40" w:after="40"/>
              <w:ind w:left="200" w:right="200"/>
            </w:pPr>
            <w:r>
              <w:rPr>
                <w:b w:val="0"/>
                <w:color w:val="0D1B2A"/>
                <w:sz w:val="20"/>
              </w:rPr>
            </w:r>
          </w:p>
          <w:p>
            <w:pPr>
              <w:spacing w:before="40" w:after="40"/>
              <w:ind w:left="200" w:right="200"/>
            </w:pPr>
            <w:r>
              <w:rPr>
                <w:b w:val="0"/>
                <w:color w:val="0D1B2A"/>
                <w:sz w:val="20"/>
              </w:rPr>
              <w:t>The competitive moat is architectural: Uber cannot remove surge without destroying their own P&amp;L. They cannot match the driver economics without abandoning their commission model. They cannot replicate the Fairness Report without publishing numbers that indict them.</w:t>
            </w:r>
          </w:p>
          <w:p>
            <w:pPr>
              <w:spacing w:before="40" w:after="40"/>
              <w:ind w:left="200" w:right="200"/>
            </w:pPr>
            <w:r>
              <w:rPr>
                <w:b w:val="0"/>
                <w:color w:val="0D1B2A"/>
                <w:sz w:val="20"/>
              </w:rPr>
            </w:r>
          </w:p>
          <w:p>
            <w:pPr>
              <w:spacing w:before="40" w:after="120"/>
              <w:ind w:left="200" w:right="200"/>
            </w:pPr>
            <w:r>
              <w:rPr>
                <w:b w:val="0"/>
                <w:color w:val="0D1B2A"/>
                <w:sz w:val="20"/>
              </w:rPr>
              <w:t>Every recommendation in this document is boycott-independent, structurally grounded, and financially modeled. Wasel does not need political tailwinds. The economics are the argument.</w:t>
            </w:r>
          </w:p>
        </w:tc>
      </w:tr>
    </w:tbl>
    <w:p/>
    <w:p>
      <w:pPr>
        <w:jc w:val="center"/>
      </w:pPr>
      <w:r>
        <w:rPr>
          <w:i/>
          <w:color w:val="AAAAAA"/>
          <w:sz w:val="18"/>
        </w:rPr>
        <w:t>WASEL · Rider Strategy v1.0 · February 2026 · Confidential</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