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 E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de Requisitos (ER) e Sistema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...</w:t>
        <w:tab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...</w:t>
        <w:tab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...</w:t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Projeto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Professor: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Prof. Radamés Pereira</w:t>
      </w:r>
    </w:p>
    <w:p w:rsidR="00000000" w:rsidDel="00000000" w:rsidP="00000000" w:rsidRDefault="00000000" w:rsidRPr="00000000" w14:paraId="0000002A">
      <w:pPr>
        <w:pStyle w:val="Title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Objetivos do documento</w:t>
      </w:r>
    </w:p>
    <w:p w:rsidR="00000000" w:rsidDel="00000000" w:rsidP="00000000" w:rsidRDefault="00000000" w:rsidRPr="00000000" w14:paraId="0000002E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o propósito da ER, especificando o público deste documento. </w:t>
      </w:r>
    </w:p>
    <w:p w:rsidR="00000000" w:rsidDel="00000000" w:rsidP="00000000" w:rsidRDefault="00000000" w:rsidRPr="00000000" w14:paraId="0000002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Escopo do produto</w:t>
      </w:r>
    </w:p>
    <w:p w:rsidR="00000000" w:rsidDel="00000000" w:rsidP="00000000" w:rsidRDefault="00000000" w:rsidRPr="00000000" w14:paraId="00000031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sintética do escopo do produto especificado.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Materiais de referência</w:t>
      </w:r>
    </w:p>
    <w:p w:rsidR="00000000" w:rsidDel="00000000" w:rsidP="00000000" w:rsidRDefault="00000000" w:rsidRPr="00000000" w14:paraId="00000033">
      <w:pPr>
        <w:ind w:left="576" w:firstLine="0"/>
        <w:rPr/>
      </w:pPr>
      <w:r w:rsidDel="00000000" w:rsidR="00000000" w:rsidRPr="00000000">
        <w:rPr>
          <w:rtl w:val="0"/>
        </w:rPr>
        <w:t xml:space="preserve">Descreve-se que a informação necessária para que todas as fontes de dados citadas na ER possam ser recuperadas, caso necessário. 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35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 na ER.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Visão geral deste documento</w:t>
      </w:r>
    </w:p>
    <w:p w:rsidR="00000000" w:rsidDel="00000000" w:rsidP="00000000" w:rsidRDefault="00000000" w:rsidRPr="00000000" w14:paraId="00000037">
      <w:pPr>
        <w:ind w:left="432" w:firstLine="0"/>
        <w:rPr/>
      </w:pPr>
      <w:r w:rsidDel="00000000" w:rsidR="00000000" w:rsidRPr="00000000">
        <w:rPr>
          <w:rtl w:val="0"/>
        </w:rPr>
        <w:t xml:space="preserve">Descreve-se aqui o que o restante da ER contém, indicando sua estrutura básica.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432" w:hanging="43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Descrição geral do produto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Diagrama de contexto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Inclui-se aqui um diagrama de contexto, onde deve ser mostrada a interface do produto com o seu ambiente de aplicação, inclusive os diversos tipos de usuários e outros sistemas do cliente com os quais o produto deve interagir.</w:t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Interfaces de usuário</w:t>
      </w:r>
    </w:p>
    <w:p w:rsidR="00000000" w:rsidDel="00000000" w:rsidP="00000000" w:rsidRDefault="00000000" w:rsidRPr="00000000" w14:paraId="0000003D">
      <w:pPr>
        <w:ind w:left="708" w:firstLine="0"/>
        <w:rPr/>
      </w:pPr>
      <w:r w:rsidDel="00000000" w:rsidR="00000000" w:rsidRPr="00000000">
        <w:rPr>
          <w:rtl w:val="0"/>
        </w:rPr>
        <w:t xml:space="preserve">Identificam-se aqui as interfaces do produto com os seus usuários humanos. Para cada interface, detalhar o respectivo nome, caso de uso, ator e uma descrição sucinta do seu objetivo.</w:t>
      </w:r>
    </w:p>
    <w:p w:rsidR="00000000" w:rsidDel="00000000" w:rsidP="00000000" w:rsidRDefault="00000000" w:rsidRPr="00000000" w14:paraId="0000003E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Interfaces de hardware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Identificam-se aqui as características de hardware do sistema maior que sejam relevantes do ponto de vista da especificação do software, tais como dispositivos especiais.</w:t>
      </w:r>
    </w:p>
    <w:p w:rsidR="00000000" w:rsidDel="00000000" w:rsidP="00000000" w:rsidRDefault="00000000" w:rsidRPr="00000000" w14:paraId="00000040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Identificam-se aqui as interfaces com outros produtos de software, tais como aplicativos que recebem dados do produto ou enviam dados para ele, sejam on-line, através de arquivos ou através de bancos de dados.</w:t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Interfaces de comunicação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Identificam-se aqui as características das redes de comunicação, tais como protocolos e padrões, que exijam tratamento especial por parte desse produto.</w:t>
      </w:r>
    </w:p>
    <w:p w:rsidR="00000000" w:rsidDel="00000000" w:rsidP="00000000" w:rsidRDefault="00000000" w:rsidRPr="00000000" w14:paraId="00000044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de memória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Identificam-se aqui os limites requeridos de memória primária e secundária. Esses limites só devem ser especificados quando isso for um requisito a ser exigido para a aceitação do produto.</w:t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Identificam-se aqui os modos requeridos de operação, tais como: interativa, em lote, automática, realização de funções de suporte, realização de funções de backup e recuperação.</w:t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da impressão do ticket de venda e da Nota Fiscal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Dimensões dos relatórios deverão ser configuráveis.</w:t>
            </w:r>
          </w:p>
        </w:tc>
      </w:tr>
    </w:tbl>
    <w:p w:rsidR="00000000" w:rsidDel="00000000" w:rsidP="00000000" w:rsidRDefault="00000000" w:rsidRPr="00000000" w14:paraId="00000051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576" w:hanging="576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Funções do produto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Identificam-se aqui as principais funções que o produto desempenhará, descrevendo de forma sintética o objetivo de cada uma.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57">
      <w:pPr>
        <w:ind w:left="576" w:firstLine="0"/>
        <w:rPr/>
      </w:pPr>
      <w:r w:rsidDel="00000000" w:rsidR="00000000" w:rsidRPr="00000000">
        <w:rPr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adiados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Descrevem-se aqui os requisitos que foram identificados durante a elaboração dessa especificação, mas cujo atendimento se decidiu deixar para versões futuras.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432" w:hanging="43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Requisitos específicos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F">
      <w:pPr>
        <w:ind w:left="708" w:firstLine="0"/>
        <w:rPr/>
      </w:pPr>
      <w:r w:rsidDel="00000000" w:rsidR="00000000" w:rsidRPr="00000000">
        <w:rPr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61">
      <w:pPr>
        <w:ind w:left="576" w:firstLine="0"/>
        <w:rPr/>
      </w:pPr>
      <w:r w:rsidDel="00000000" w:rsidR="00000000" w:rsidRPr="00000000">
        <w:rPr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296" w:hanging="360"/>
        <w:rPr/>
      </w:pPr>
      <w:r w:rsidDel="00000000" w:rsidR="00000000" w:rsidRPr="00000000">
        <w:rPr>
          <w:rtl w:val="0"/>
        </w:rPr>
        <w:t xml:space="preserve">Um esboço do leiaute gráfico sugerido para a interface;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296" w:hanging="360"/>
        <w:rPr/>
      </w:pPr>
      <w:r w:rsidDel="00000000" w:rsidR="00000000" w:rsidRPr="00000000">
        <w:rPr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296" w:hanging="360"/>
        <w:rPr/>
      </w:pPr>
      <w:r w:rsidDel="00000000" w:rsidR="00000000" w:rsidRPr="00000000">
        <w:rPr>
          <w:rtl w:val="0"/>
        </w:rPr>
        <w:t xml:space="preserve">Um diagrama de estados, caso necessário para melhor entender-se o comportamento requerido da interface;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296" w:hanging="360"/>
        <w:rPr/>
      </w:pPr>
      <w:r w:rsidDel="00000000" w:rsidR="00000000" w:rsidRPr="00000000">
        <w:rPr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296" w:hanging="360"/>
        <w:rPr/>
      </w:pPr>
      <w:r w:rsidDel="00000000" w:rsidR="00000000" w:rsidRPr="00000000">
        <w:rPr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296" w:hanging="360"/>
        <w:rPr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1"/>
        </w:numPr>
        <w:ind w:left="720" w:hanging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Diagramas de casos de uso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Incluir todos os casos de uso que se pretende implementar em uma liberação. Pode-se incluir ainda: um certo caso de uso e seus relacionamentos, todos os casos de uso para um certo ator.</w:t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1"/>
        </w:numPr>
        <w:ind w:left="720" w:hanging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Fluxos dos casos de uso (caso de uso expandido e diagrama de atividades)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Fluxo principal do caso de uso, descrito na forma de uma sequência de passos;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Observações.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de projeto impostas por padrões externos, como o leiaute da nota fiscal, que é imposto pela Secretaria de Receita.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 os atributos de qualidade, seguindo as características e subcaracterísticas recomendadas pela norma ISO-9126.</w:t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tabs>
          <w:tab w:val="left" w:leader="none" w:pos="600"/>
        </w:tabs>
        <w:ind w:left="432" w:hanging="43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Informações de suporte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 ER deve incluir informações de suporte adequadas, tais como índices e apêndices. </w:t>
      </w:r>
    </w:p>
    <w:p w:rsidR="00000000" w:rsidDel="00000000" w:rsidP="00000000" w:rsidRDefault="00000000" w:rsidRPr="00000000" w14:paraId="0000007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07F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1296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  <w:rsid w:val="0077488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 w:val="1"/>
    <w:rsid w:val="00830D09"/>
    <w:pPr>
      <w:keepNext w:val="1"/>
      <w:numPr>
        <w:numId w:val="1"/>
      </w:numPr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 w:val="1"/>
    <w:rsid w:val="00830D09"/>
    <w:pPr>
      <w:keepNext w:val="1"/>
      <w:numPr>
        <w:ilvl w:val="1"/>
        <w:numId w:val="1"/>
      </w:numPr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har"/>
    <w:qFormat w:val="1"/>
    <w:rsid w:val="00830D09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har"/>
    <w:qFormat w:val="1"/>
    <w:rsid w:val="00830D09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"/>
    <w:link w:val="Ttulo5Char"/>
    <w:qFormat w:val="1"/>
    <w:rsid w:val="00830D09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qFormat w:val="1"/>
    <w:rsid w:val="00830D09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qFormat w:val="1"/>
    <w:rsid w:val="00830D09"/>
    <w:pPr>
      <w:numPr>
        <w:ilvl w:val="6"/>
        <w:numId w:val="1"/>
      </w:numPr>
      <w:spacing w:after="60" w:before="24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 w:val="1"/>
    <w:rsid w:val="00830D09"/>
    <w:pPr>
      <w:numPr>
        <w:ilvl w:val="7"/>
        <w:numId w:val="1"/>
      </w:numPr>
      <w:spacing w:after="60" w:before="240"/>
      <w:outlineLvl w:val="7"/>
    </w:pPr>
    <w:rPr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har"/>
    <w:qFormat w:val="1"/>
    <w:rsid w:val="00830D09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link w:val="TtuloChar"/>
    <w:qFormat w:val="1"/>
    <w:rsid w:val="00B74563"/>
    <w:pPr>
      <w:jc w:val="center"/>
    </w:pPr>
    <w:rPr>
      <w:b w:val="1"/>
      <w:bCs w:val="1"/>
      <w:sz w:val="32"/>
      <w:szCs w:val="24"/>
      <w:u w:val="single"/>
    </w:rPr>
  </w:style>
  <w:style w:type="character" w:styleId="TtuloChar" w:customStyle="1">
    <w:name w:val="Título Char"/>
    <w:basedOn w:val="Fontepargpadro"/>
    <w:link w:val="Ttulo"/>
    <w:rsid w:val="00B74563"/>
    <w:rPr>
      <w:rFonts w:ascii="Times New Roman" w:cs="Times New Roman" w:eastAsia="Times New Roman" w:hAnsi="Times New Roman"/>
      <w:b w:val="1"/>
      <w:bCs w:val="1"/>
      <w:sz w:val="32"/>
      <w:szCs w:val="24"/>
      <w:u w:val="single"/>
      <w:lang w:eastAsia="pt-BR"/>
    </w:rPr>
  </w:style>
  <w:style w:type="character" w:styleId="Ttulo1Char" w:customStyle="1">
    <w:name w:val="Título 1 Char"/>
    <w:basedOn w:val="Fontepargpadro"/>
    <w:link w:val="Ttulo1"/>
    <w:rsid w:val="00830D09"/>
    <w:rPr>
      <w:rFonts w:ascii="Arial" w:cs="Arial" w:eastAsia="Times New Roman" w:hAnsi="Arial"/>
      <w:b w:val="1"/>
      <w:bCs w:val="1"/>
      <w:kern w:val="32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rsid w:val="00830D09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pt-BR"/>
    </w:rPr>
  </w:style>
  <w:style w:type="character" w:styleId="Ttulo3Char" w:customStyle="1">
    <w:name w:val="Título 3 Char"/>
    <w:basedOn w:val="Fontepargpadro"/>
    <w:link w:val="Ttulo3"/>
    <w:rsid w:val="00830D09"/>
    <w:rPr>
      <w:rFonts w:ascii="Arial" w:cs="Arial" w:eastAsia="Times New Roman" w:hAnsi="Arial"/>
      <w:b w:val="1"/>
      <w:bCs w:val="1"/>
      <w:sz w:val="26"/>
      <w:szCs w:val="26"/>
      <w:lang w:eastAsia="pt-BR"/>
    </w:rPr>
  </w:style>
  <w:style w:type="character" w:styleId="Ttulo4Char" w:customStyle="1">
    <w:name w:val="Título 4 Char"/>
    <w:basedOn w:val="Fontepargpadro"/>
    <w:link w:val="Ttulo4"/>
    <w:rsid w:val="00830D09"/>
    <w:rPr>
      <w:rFonts w:ascii="Times New Roman" w:cs="Times New Roman" w:eastAsia="Times New Roman" w:hAnsi="Times New Roman"/>
      <w:b w:val="1"/>
      <w:bCs w:val="1"/>
      <w:sz w:val="28"/>
      <w:szCs w:val="28"/>
      <w:lang w:eastAsia="pt-BR"/>
    </w:rPr>
  </w:style>
  <w:style w:type="character" w:styleId="Ttulo5Char" w:customStyle="1">
    <w:name w:val="Título 5 Char"/>
    <w:basedOn w:val="Fontepargpadro"/>
    <w:link w:val="Ttulo5"/>
    <w:rsid w:val="00830D09"/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  <w:lang w:eastAsia="pt-BR"/>
    </w:rPr>
  </w:style>
  <w:style w:type="character" w:styleId="Ttulo6Char" w:customStyle="1">
    <w:name w:val="Título 6 Char"/>
    <w:basedOn w:val="Fontepargpadro"/>
    <w:link w:val="Ttulo6"/>
    <w:rsid w:val="00830D09"/>
    <w:rPr>
      <w:rFonts w:ascii="Times New Roman" w:cs="Times New Roman" w:eastAsia="Times New Roman" w:hAnsi="Times New Roman"/>
      <w:b w:val="1"/>
      <w:bCs w:val="1"/>
      <w:lang w:eastAsia="pt-BR"/>
    </w:rPr>
  </w:style>
  <w:style w:type="character" w:styleId="Ttulo7Char" w:customStyle="1">
    <w:name w:val="Título 7 Char"/>
    <w:basedOn w:val="Fontepargpadro"/>
    <w:link w:val="Ttulo7"/>
    <w:rsid w:val="00830D09"/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tulo8Char" w:customStyle="1">
    <w:name w:val="Título 8 Char"/>
    <w:basedOn w:val="Fontepargpadro"/>
    <w:link w:val="Ttulo8"/>
    <w:rsid w:val="00830D09"/>
    <w:rPr>
      <w:rFonts w:ascii="Times New Roman" w:cs="Times New Roman" w:eastAsia="Times New Roman" w:hAnsi="Times New Roman"/>
      <w:i w:val="1"/>
      <w:iCs w:val="1"/>
      <w:sz w:val="24"/>
      <w:szCs w:val="24"/>
      <w:lang w:eastAsia="pt-BR"/>
    </w:rPr>
  </w:style>
  <w:style w:type="character" w:styleId="Ttulo9Char" w:customStyle="1">
    <w:name w:val="Título 9 Char"/>
    <w:basedOn w:val="Fontepargpadro"/>
    <w:link w:val="Ttulo9"/>
    <w:rsid w:val="00830D09"/>
    <w:rPr>
      <w:rFonts w:ascii="Arial" w:cs="Arial" w:eastAsia="Times New Roman" w:hAnsi="Arial"/>
      <w:lang w:eastAsia="pt-BR"/>
    </w:rPr>
  </w:style>
  <w:style w:type="paragraph" w:styleId="Recuodecorpodetexto">
    <w:name w:val="Body Text Indent"/>
    <w:basedOn w:val="Normal"/>
    <w:link w:val="RecuodecorpodetextoChar"/>
    <w:rsid w:val="00830D09"/>
    <w:pPr>
      <w:ind w:firstLine="708"/>
      <w:jc w:val="both"/>
    </w:pPr>
    <w:rPr>
      <w:sz w:val="24"/>
      <w:szCs w:val="24"/>
    </w:rPr>
  </w:style>
  <w:style w:type="character" w:styleId="RecuodecorpodetextoChar" w:customStyle="1">
    <w:name w:val="Recuo de corpo de texto Char"/>
    <w:basedOn w:val="Fontepargpadro"/>
    <w:link w:val="Recuodecorpodetexto"/>
    <w:rsid w:val="00830D09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830D09"/>
    <w:pPr>
      <w:ind w:firstLine="576"/>
      <w:jc w:val="both"/>
    </w:pPr>
    <w:rPr>
      <w:sz w:val="24"/>
      <w:szCs w:val="24"/>
    </w:rPr>
  </w:style>
  <w:style w:type="character" w:styleId="Recuodecorpodetexto2Char" w:customStyle="1">
    <w:name w:val="Recuo de corpo de texto 2 Char"/>
    <w:basedOn w:val="Fontepargpadro"/>
    <w:link w:val="Recuodecorpodetexto2"/>
    <w:rsid w:val="00830D09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830D09"/>
    <w:pPr>
      <w:ind w:firstLine="432"/>
      <w:jc w:val="both"/>
    </w:pPr>
    <w:rPr>
      <w:sz w:val="24"/>
      <w:szCs w:val="24"/>
    </w:rPr>
  </w:style>
  <w:style w:type="character" w:styleId="Recuodecorpodetexto3Char" w:customStyle="1">
    <w:name w:val="Recuo de corpo de texto 3 Char"/>
    <w:basedOn w:val="Fontepargpadro"/>
    <w:link w:val="Recuodecorpodetexto3"/>
    <w:rsid w:val="00830D09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l5zGbsQzaZ/Etr1VP+ZiRh9mCw==">CgMxLjAyCGguZ2pkZ3hzMgloLjMwajB6bGw4AHIhMVY3V1pYd0lwM3VncFBpcGJRMlVLUUNySEFHSEVRV3Fx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2018-08-14T00:02:00Z</dcterms:created>
  <dc:creator>Radamés Pereira</dc:creator>
</cp:coreProperties>
</file>