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Purpose: </w:t>
            </w:r>
            <w:r>
              <w:t>Five assessed practicals built on blind-verification-agentic-ai. Each practical teaches a reusable assurance skill and produces an evidence pack that can later inform—but must remain ethically separate from—a conference-quality research artifact.</w:t>
            </w:r>
          </w:p>
        </w:tc>
      </w:tr>
    </w:tbl>
    <w:p>
      <w:pPr>
        <w:pStyle w:val="Heading1"/>
        <w:keepLines/>
        <w:keepNext/>
      </w:pPr>
      <w:r>
        <w:t>Format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Five practicals; individual or small-group laboratory work; equal weighting (20% each).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Repository: blind-verification-agentic-ai. Use the recorded commit supplied by the module leader.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Practical 1 is ready. Practicals 2–4 require instructor packaging. Practical 5 is a build-and-evaluate practical and must not be presented as already implemented.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Every submission includes raw outputs, a concise interpretation, limitations, and an AI-use disclosure.</w:t>
      </w:r>
    </w:p>
    <w:p>
      <w:pPr>
        <w:pStyle w:val="Heading2"/>
        <w:keepLines/>
        <w:keepNext/>
      </w:pPr>
      <w:r>
        <w:t>Learning outcomes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Distinguish pre-reveal security prediction from post-hoc explanation.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Translate trust assumptions into executable security properties and negative controls.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Evaluate supply-chain, memory/tool, and release-assurance controls using reproducible evidence.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Recognize leakage, saturation, weak baselines, and unsupported generalization.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Communicate security conclusions with appropriate uncertainty, ethics, and limitations.</w:t>
      </w:r>
    </w:p>
    <w:p>
      <w:pPr>
        <w:pStyle w:val="Heading2"/>
        <w:keepLines/>
        <w:keepNext/>
      </w:pPr>
      <w:r>
        <w:t>Safety, integrity, and preparation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Use synthetic data, fake credentials, localhost/non-routable services, and disposable environments only.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Never connect these exercises to production systems, real users, live accounts, or external targets.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Treat model output and generated code as untrusted until verified by tests, policy checks, and review.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Record commit, tool/model version, prompt/configuration, run ID, and raw output. Do not edit failed runs.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Do not consult hidden ground truth before a blind commitment. Declare all model/tool assistance in the submitted evidence pack.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Practical 1 — Blind Verification &amp; Executable Security Properties</w:t>
      </w:r>
    </w:p>
    <w:p>
      <w:pPr>
        <w:spacing w:after="60"/>
        <w:keepLines/>
      </w:pPr>
      <w:r>
        <w:t>Implementation status: READY  |  Research target: Expert Systems with Applications (ESWA, Elsevier JCR Q1, submitting Oct 2026; Plan B ACM TOSEM; foundation: IEEE SaTML)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Commit to a predicted failure location before reveal, score the commitment after reveal, and require an executable red-to-green patch result.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Current repository, v0-clean and v1-vulnerability; conference runner, sealed study outputs, scorer, patch oracle, and artifact packager.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It turns an agent-security explanation into a falsifiable claim. The ordering—commit, reveal, score, patch—is the control that prevents hindsight from masquerading as verification.</w:t>
      </w:r>
    </w:p>
    <w:p>
      <w:pPr>
        <w:pStyle w:val="Heading2"/>
        <w:keepLines/>
        <w:keepNext/>
      </w:pPr>
      <w:r>
        <w:t>Command /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./scripts/run_conference_demo.sh --run-id &lt;unique-id&gt;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# Inspect artifacts/&lt;unique-id&gt;/ and the frozen result pointers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python eval/score_patch.py --arch support --variant v1-vulnerability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--patch patches/support/v1-vulnerability/fix-v1-vulnerability.diff</w:t>
            </w:r>
          </w:p>
        </w:tc>
      </w:tr>
    </w:tbl>
    <w:p>
      <w:pPr>
        <w:pStyle w:val="Heading2"/>
        <w:keepLines/>
        <w:keepNext/>
      </w:pPr>
      <w:r>
        <w:t>Preparation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Clone the repository, create a named branch, install the pinned environment, and run the baseline tests.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Read the protocol and metric definitions, but do not inspect the planted v1 files before sealing the prediction.</w:t>
      </w:r>
    </w:p>
    <w:p>
      <w:pPr>
        <w:pStyle w:val="Heading2"/>
        <w:keepLines/>
        <w:keepNext/>
      </w:pPr>
      <w:r>
        <w:t>Assessed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Freeze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Record the repository commit, environment, assessor condition, model/tool configuration, prompt, and run ID. Do not expose the defect overlay.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Commit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Produce a schema-valid prediction with cited files, trust boundaries, failure family, and confidence. Seal its hash before reveal.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Reveal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Apply the controlled v1-vulnerability condition and preserve the reveal event separately from the prediction.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Score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Calculate localization/structure recall and compare high-structure with low-structure, random, and hindsight controls.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Patch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Apply a candidate unified diff in a clean workspace. The gold patch must pass; a wrong-target patch must remain red.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Audit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Package raw predictions, seals, ground truth, test logs, scores, software versions, and limitations without editing failed runs.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Current evidence supports instrument validity and benchmark separability—not general population performance. The sealed protocol study contains 80 runs; the LLM-tool arm contains 46 runs across seven tool configurations. In the primary support-v1 condition, high-structure recall is 0.80 versus 0 for low/random, while hindsight reaches 1.0. Human multi-lab arms remain open.</w:t>
            </w:r>
          </w:p>
        </w:tc>
      </w:tr>
    </w:tbl>
    <w:p>
      <w:pPr>
        <w:pStyle w:val="Heading2"/>
        <w:keepLines/>
        <w:keepNext/>
      </w:pPr>
      <w:r>
        <w:t>Required evidence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Sealed pre-reveal prediction and independent reveal log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Ground-truth file/failure-family mapping and scorer output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High/low/random/hindsight conditions with uncertainty and exact tests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Gold-patch success plus wrong-target negative control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Transfer result for the independent repo-ops architecture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Anonymized artifact with raw data, environment capture, ethics, and limitations</w:t>
      </w:r>
    </w:p>
    <w:p>
      <w:pPr>
        <w:pStyle w:val="Heading2"/>
        <w:keepLines/>
        <w:keepNext/>
      </w:pPr>
      <w:r>
        <w:t>Assessment focus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65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What strong work demonstrates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Correctness &amp; execution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Commands/tests run against the recorded state; outputs are complete and traceable.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Blindness &amp; independence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No ground-truth leakage; commitments and independent assessments are time/order evident.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Evaluation quality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Appropriate baseline, negative control, metric, uncertainty, and interpretation.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Security reasoning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Threat/authority boundaries and failure mechanism are explicit; claims match evidence.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Reproducibility &amp; reflection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Another student can rerun it; limitations and AI assistance are disclosed.</w:t>
            </w:r>
          </w:p>
        </w:tc>
      </w:tr>
    </w:tbl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Paper claim: blind structure improves pre-reveal localization and can be falsified by controlled baselines. Extend with preregistered human labs, additional architectures/defect families, calibration curves, and a frozen analysis script. Keep all N values sourced from machine-readable result files; several narrative files still contain older 72/22 counts and must be refreshed before submission.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Practical 2 — Agentic Supply-Chain &amp; AIBOM Drift</w:t>
      </w:r>
    </w:p>
    <w:p>
      <w:pPr>
        <w:spacing w:after="60"/>
        <w:keepLines/>
      </w:pPr>
      <w:r>
        <w:rPr>
          <w:i/>
          <w:color w:val="24576A"/>
        </w:rPr>
        <w:t>Implementation status: PARTIAL — scanner and CI control exist; teaching and study harness remain  |  Research target: ACM CCS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Detect and explain dependency, deployment, AIBOM, workflow, and permission drift; then evaluate whether an agent's triage is complete, correctly prioritized, and safely governed.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benchmark/variants/v2-supply-chain-drift, scripts/verify_aibom.py, signed triage approvals, CI workflow, and scanner tests.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A single ‘secure’ label hides several independent failure families. The contribution must model plausible threat surfaces and prove that triage generalizes beyond one curated example.</w:t>
      </w:r>
    </w:p>
    <w:p>
      <w:pPr>
        <w:pStyle w:val="Heading2"/>
        <w:keepLines/>
        <w:keepNext/>
      </w:pPr>
      <w:r>
        <w:t>Command /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python scripts/verify_aibom.py --format text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# Instructor/research overlay: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python scripts/verify_aibom.py --root benchmark/variants/v2-supply-chain-drift --format json</w:t>
            </w:r>
          </w:p>
        </w:tc>
      </w:tr>
    </w:tbl>
    <w:p>
      <w:pPr>
        <w:pStyle w:val="Heading2"/>
        <w:keepLines/>
        <w:keepNext/>
      </w:pPr>
      <w:r>
        <w:t>Preparation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Confirm the clean scanner passes. Obtain the instructor-staged v2 workspace separately from the answer key.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Create two assessor folders so independent triage outputs cannot contaminate each other.</w:t>
      </w:r>
    </w:p>
    <w:p>
      <w:pPr>
        <w:pStyle w:val="Heading2"/>
        <w:keepLines/>
        <w:keepNext/>
      </w:pPr>
      <w:r>
        <w:t>Assessed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Baseline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the fail-closed scanner on the clean repository and retain the zero-open-findings report.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Stage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Use an instructor-prepared workspace containing the v2 overlay; it is a directory variant, not a promised Git tag.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Triage A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Have the agent assess the dependency lock and AIBOM without reading the answer key. Record finding fingerprints and severity.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Triage B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Independently inspect the deployment manifest, permissions, and workflow references. Prevent the second assessor from reading Triage A.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Reconcile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Map atomic findings to three ground-truth families: dependency drift, privileged/writable deployment, and AIBOM integrity.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Govern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Demonstrate that only a time-limited, reviewer-attributed, HMAC-signed exception can suppress a finding; expiry or tampering must fail closed.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The implemented scanner passes on the clean baseline and reports 11 atomic findings in the staged v2 overlay. Those findings cluster into three planted ground-truth families. This is implementation evidence, not yet a publication-ready comparative study.</w:t>
            </w:r>
          </w:p>
        </w:tc>
      </w:tr>
    </w:tbl>
    <w:p>
      <w:pPr>
        <w:pStyle w:val="Heading2"/>
        <w:keepLines/>
        <w:keepNext/>
      </w:pPr>
      <w:r>
        <w:t>Required evidence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Clean and drifted JSON reports with stable path:line fingerprints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Independent assessor outputs and reconciliation record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Ground-truth family labels plus completeness/severity/conflict metrics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Valid, expired, tampered, and unsigned exception cases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CI result, software bill of materials, and reproducible environment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Multi-project/multi-ecosystem replication and false-positive analysis</w:t>
      </w:r>
    </w:p>
    <w:p>
      <w:pPr>
        <w:pStyle w:val="Heading2"/>
        <w:keepLines/>
        <w:keepNext/>
      </w:pPr>
      <w:r>
        <w:t>Assessment focus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65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What strong work demonstrates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Correctness &amp; execution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Commands/tests run against the recorded state; outputs are complete and traceable.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Blindness &amp; independence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No ground-truth leakage; commitments and independent assessments are time/order evident.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Evaluation quality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Appropriate baseline, negative control, metric, uncertainty, and interpretation.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Security reasoning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Threat/authority boundaries and failure mechanism are explicit; claims match evidence.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Reproducibility &amp; reflection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Another student can rerun it; limitations and AI assistance are disclosed.</w:t>
            </w:r>
          </w:p>
        </w:tc>
      </w:tr>
    </w:tbl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CCS package: state an attacker capability and end-to-end threat model; compare deterministic scanner, single-agent, independent double-triage, and human review; report recall by family, severity calibration, resolution latency, false positives, and exception abuse. Add multiple projects/ecosystems, adaptive drift, ablations, and an artifact/Open Science appendix. A few successful examples alone are not the paper.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Practical 3 — Evaluation Design: Structure, Leakage, Saturation &amp; Executable Invariants</w:t>
      </w:r>
    </w:p>
    <w:p>
      <w:pPr>
        <w:spacing w:after="60"/>
        <w:keepLines/>
      </w:pPr>
      <w:r>
        <w:rPr>
          <w:i/>
          <w:color w:val="24576A"/>
        </w:rPr>
        <w:t>Implementation status: PARTIAL — formalism, architecture assessor, ground truth, and invariants exist; evaluation-card and ablation runner remain  |  Research target: NeurIPS Evaluations &amp; Datasets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Treat evaluation design—not another vulnerability—as the object of study, and show when a benchmark can or cannot support the claim made for it.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eval/bpvr_formalism.md, assessors/architecture_review.py, eval/ground_truth.yaml, invariants.yaml, and the frozen study outputs.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Evaluation can leak answers, saturate, reward vague predictions, or confuse file localization with causal understanding. A reusable protocol must expose those failure modes.</w:t>
      </w:r>
    </w:p>
    <w:p>
      <w:pPr>
        <w:pStyle w:val="Heading2"/>
        <w:keepLines/>
        <w:keepNext/>
      </w:pPr>
      <w:r>
        <w:t>Command /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# Planned evaluation-card interface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python eval/run_evaluation_matrix.py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--conditions high,low,manual,random,hindsight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--ablations source_refs,trust_boundaries,confidence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--output artifacts/evaluation-card.json</w:t>
            </w:r>
          </w:p>
        </w:tc>
      </w:tr>
    </w:tbl>
    <w:p>
      <w:pPr>
        <w:pStyle w:val="Heading2"/>
        <w:keepLines/>
        <w:keepNext/>
      </w:pPr>
      <w:r>
        <w:t>Preparation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Read the formalism and evaluation ground truth. Write a one-paragraph claim and non-claim before running conditions.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Use the instructor-provided evaluation-matrix scaffold until the planned runner is implemented.</w:t>
      </w:r>
    </w:p>
    <w:p>
      <w:pPr>
        <w:pStyle w:val="Heading2"/>
        <w:keepLines/>
        <w:keepNext/>
      </w:pPr>
      <w:r>
        <w:t>Assessed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Claim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Write the exact construct being measured and the claims it does not support.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Leak audit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Search prompts, filenames, paths, commit history, fixtures, and packaging for answer-bearing cues. Record every removed cue.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Condition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high-structure, low-structure, manual/static, random, and hindsight controls under the same reveal and scoring rules.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Ablate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Remove source references, trust-boundary structure, confidence, and patch execution one at a time.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Stress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Vary defect prevalence, ambiguity, architecture, and localization granularity; look for ceiling/floor effects and metric gaming.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Card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Publish the dataset/evaluation card, raw predictions, scoring implementation, uncertainty, known limitations, and intended use.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A valid benchmark must separate informative from uninformative conditions, remain stable under harmless formatting changes, and fail visibly under leakage or metric gaming. Report negative and saturated results; they define the boundary of the evaluation.</w:t>
            </w:r>
          </w:p>
        </w:tc>
      </w:tr>
    </w:tbl>
    <w:p>
      <w:pPr>
        <w:pStyle w:val="Heading2"/>
        <w:keepLines/>
        <w:keepNext/>
      </w:pPr>
      <w:r>
        <w:t>Required evidence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Claim-to-metric table with assumptions and non-claims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Leakage audit and provenance/freeze record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Full condition-by-variant matrix, not selected success cases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Ablation effects with confidence intervals and multiple-comparison policy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Inter-rater agreement for any human-labelled ground truth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Evaluation card, executable benchmark, licensing, maintenance, and limitations</w:t>
      </w:r>
    </w:p>
    <w:p>
      <w:pPr>
        <w:pStyle w:val="Heading2"/>
        <w:keepLines/>
        <w:keepNext/>
      </w:pPr>
      <w:r>
        <w:t>Assessment focus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65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What strong work demonstrates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Correctness &amp; execution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Commands/tests run against the recorded state; outputs are complete and traceable.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Blindness &amp; independence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No ground-truth leakage; commitments and independent assessments are time/order evident.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Evaluation quality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Appropriate baseline, negative control, metric, uncertainty, and interpretation.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Security reasoning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Threat/authority boundaries and failure mechanism are explicit; claims match evidence.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Reproducibility &amp; reflection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Another student can rerun it; limitations and AI assistance are disclosed.</w:t>
            </w:r>
          </w:p>
        </w:tc>
      </w:tr>
    </w:tbl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NeurIPS E&amp;D package: make evaluation methodology the distinct contribution. Compare evaluation designs, quantify leakage and saturation, test robustness and ablations, and release a reusable protocol. Do not simply resubmit the SaTML security result with a new introduction; use Demo 1 as a cited case study inside a broader evaluation contribution.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Practical 4 — Prompt Injection, Tool Authority &amp; Persistent-Memory Poisoning</w:t>
      </w:r>
    </w:p>
    <w:p>
      <w:pPr>
        <w:spacing w:after="60"/>
        <w:keepLines/>
      </w:pPr>
      <w:r>
        <w:rPr>
          <w:i/>
          <w:color w:val="24576A"/>
        </w:rPr>
        <w:t>Implementation status: PARTIAL — memory-poison fixture, rollback verification, clean invariant test, and LLM v3 arms exist; runtime matrix remains  |  Research target: IEEE Symposium on Security and Privacy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Trace how untrusted content becomes persistent instruction or an authorized tool action, then test controls across genuinely different runtime architectures.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benchmark/variants/v3-poisoned-memory, app/memory, app/tools/email_draft.py, tests/test_memory_poisoning.py, and sealed LLM-tool results.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Prompt injection is consequential only when it crosses authority or persistence boundaries. The study must capture traces and side effects, not merely whether a model repeats an attack string.</w:t>
      </w:r>
    </w:p>
    <w:p>
      <w:pPr>
        <w:pStyle w:val="Heading2"/>
        <w:keepLines/>
        <w:keepNext/>
      </w:pPr>
      <w:r>
        <w:t>Command /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pytest tests/test_memory_poisoning.py -q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# Planned normalized trace record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{"source":"memory","trust":"untrusted","decision":"blocked",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"tool":"email_draft","side_effect":false,"reason":"signature_invalid"}</w:t>
            </w:r>
          </w:p>
        </w:tc>
      </w:tr>
    </w:tbl>
    <w:p>
      <w:pPr>
        <w:pStyle w:val="Heading2"/>
        <w:keepLines/>
        <w:keepNext/>
      </w:pPr>
      <w:r>
        <w:t>Preparation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Run the clean memory invariant test. Obtain the staged v3 fixture and a local-only runtime adapter.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Define prohibited side effects and benign controls before attacks.</w:t>
      </w:r>
    </w:p>
    <w:p>
      <w:pPr>
        <w:pStyle w:val="Heading2"/>
        <w:keepLines/>
        <w:keepNext/>
      </w:pPr>
      <w:r>
        <w:t>Assessed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Model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Declare assets, attacker control, user intent, tool scopes, persistence boundaries, and the prohibited side effects.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Seed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Introduce unsigned or tampered memory content in the staged v3 overlay and preserve the payload hash.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Exercise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benign, direct-injection, indirect-injection, and multi-turn persistence cases against each runtime adapter.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Trace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Normalize observations into source, trust label, policy decision, tool request, authorization, side effect, and reason.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Control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Compare signature verification, provenance labels, least-privilege tool scopes, confirmation, and rollback; include control combinations.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Adapt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Red-team paraphrases, encoding, split payloads, delayed triggers, and benign look-alikes; retain false-refusal results.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The clean test currently checks signed memory and rejects a known injection phrase. Conference evidence still requires an adapter matrix, side-effect oracles, adaptive attacks, benign controls, and a clear distinction between native runtime controls and wrapper-enforced controls.</w:t>
            </w:r>
          </w:p>
        </w:tc>
      </w:tr>
    </w:tbl>
    <w:p>
      <w:pPr>
        <w:pStyle w:val="Heading2"/>
        <w:keepLines/>
        <w:keepNext/>
      </w:pPr>
      <w:r>
        <w:t>Required evidence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Threat model and attack/benign fixture manifest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Normalized trace plus independent side-effect oracle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Attack success, control efficacy, false refusal, and persistence duration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Native-runtime, wrapper, and deterministic-harness comparison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Adaptive variants and control ablations across models/seeds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Responsible testing, data handling, limitations, and reproducible artifact</w:t>
      </w:r>
    </w:p>
    <w:p>
      <w:pPr>
        <w:pStyle w:val="Heading2"/>
        <w:keepLines/>
        <w:keepNext/>
      </w:pPr>
      <w:r>
        <w:t>Assessment focus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65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What strong work demonstrates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Correctness &amp; execution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Commands/tests run against the recorded state; outputs are complete and traceable.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Blindness &amp; independence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No ground-truth leakage; commitments and independent assessments are time/order evident.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Evaluation quality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Appropriate baseline, negative control, metric, uncertainty, and interpretation.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Security reasoning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Threat/authority boundaries and failure mechanism are explicit; claims match evidence.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Reproducibility &amp; reflection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Another student can rerun it; limitations and AI assistance are disclosed.</w:t>
            </w:r>
          </w:p>
        </w:tc>
      </w:tr>
    </w:tbl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IEEE S&amp;P package: emphasize a novel systems-security result about authority and persistence boundaries. Test multiple agent architectures with one trace schema; measure attack success, unauthorized side effects, false refusals, and control cost. Freeze/anonymize artifacts and disclose ethics and generative-AI use as required by the current CFP.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Practical 5 — Evidence-Backed Release Assurance for Agentic Systems</w:t>
      </w:r>
    </w:p>
    <w:p>
      <w:pPr>
        <w:spacing w:after="60"/>
        <w:keepLines/>
      </w:pPr>
      <w:r>
        <w:t>Implementation status: READY — reference implementation, Merkle attestation and witness protocol complete  |  Research target: IEEE TDSC (submitted Oct 2026; formerly USENIX Security '27 C1)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Make release approval depend on fresh, attributable, policy-complete evidence rather than a persuasive narrative or a single green test suite.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Proposed repository-native scripts/assure_release.py plus evidence_manifest.yaml, release_policy.yaml, assurance_report.json, and mutation variants.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Agentic releases combine model, prompt, tool, identity, memory, dependency, and deployment evidence. A fail-open or stale-evidence gate can approve a release whose tests individually look healthy.</w:t>
      </w:r>
    </w:p>
    <w:p>
      <w:pPr>
        <w:pStyle w:val="Heading2"/>
        <w:keepLines/>
        <w:keepNext/>
      </w:pPr>
      <w:r>
        <w:t>Command /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# Target interface to implement before teaching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python scripts/assure_release.py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--manifest evidence_manifest.yaml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--policy release_policy.yaml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--report assurance_report.json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# Exit 0 only when every required item is fresh, attributable, and policy-valid.</w:t>
            </w:r>
          </w:p>
        </w:tc>
      </w:tr>
    </w:tbl>
    <w:p>
      <w:pPr>
        <w:pStyle w:val="Heading2"/>
        <w:keepLines/>
        <w:keepNext/>
      </w:pPr>
      <w:r>
        <w:t>Preparation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Start from the provided schema/policy skeleton. This practical includes implementing the validator and its tests.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Agree the evidence types, freshness window, and fail-closed behavior before coding.</w:t>
      </w:r>
    </w:p>
    <w:p>
      <w:pPr>
        <w:pStyle w:val="Heading2"/>
        <w:keepLines/>
        <w:keepNext/>
      </w:pPr>
      <w:r>
        <w:t>Assessed runbook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Specify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Define the release claim, required evidence types, owners, freshness windows, and fail-closed policy.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Build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Implement a deterministic validator and JSON report before introducing an agent-generated summary.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Mutate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Create isolated missing, stale, contradictory, misattributed, tampered, and policy-waived evidence variants.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Decide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Compare deterministic gate, agent-assisted evidence collection, and human review without letting prose override policy.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Verify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Use known-good, known-bad, and mixed manifests; check both false passes and false blocks.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Measure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Record completeness, decision accuracy, time-to-decision, reviewer effort, policy coverage, and runtime overhead.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The target artifact must produce machine-readable reasons for every pass, block, and exception. Until the script, schemas, fixtures, and tests exist, this demo remains a documented research and production plan—not a claimed implementation.</w:t>
            </w:r>
          </w:p>
        </w:tc>
      </w:tr>
    </w:tbl>
    <w:p>
      <w:r>
        <w:br w:type="page"/>
      </w:r>
    </w:p>
    <w:p>
      <w:pPr>
        <w:pStyle w:val="Heading2"/>
        <w:keepLines/>
        <w:keepNext/>
      </w:pPr>
      <w:r>
        <w:t>Required evidence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Versioned evidence manifest, policy, schemas, and provenance rules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Deterministic assurance report with stable reason codes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Known-good/bad/mixed mutation corpus and expected decisions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False-pass, false-block, completeness, latency, and overhead results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Human-review comparison and signed exception governance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Artifact instructions, Open Science appendix, ethics, and limitations</w:t>
      </w:r>
    </w:p>
    <w:p>
      <w:pPr>
        <w:pStyle w:val="Heading2"/>
        <w:keepLines/>
        <w:keepNext/>
      </w:pPr>
      <w:r>
        <w:t>Assessment focus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65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What strong work demonstrates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Correctness &amp; execution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Commands/tests run against the recorded state; outputs are complete and traceable.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Blindness &amp; independence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No ground-truth leakage; commitments and independent assessments are time/order evident.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Evaluation quality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Appropriate baseline, negative control, metric, uncertainty, and interpretation.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Security reasoning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Threat/authority boundaries and failure mechanism are explicit; claims match evidence.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Reproducibility &amp; reflection</w:t>
            </w:r>
          </w:p>
        </w:tc>
        <w:tc>
          <w:tcPr>
            <w:tcW w:type="dxa" w:w="6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Another student can rerun it; limitations and AI assistance are disclosed.</w:t>
            </w:r>
          </w:p>
        </w:tc>
      </w:tr>
    </w:tbl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USENIX Security package: evaluate a real, repository-native release gate across multiple agentic systems and mutation families. Report operational trade-offs and negative results. The artifact must reproduce figures/tables and document which evidence can be released; USENIX's current call requires an Open Science appendix and gives the artifact a short post-submission grace period.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One programme, five distinct contribution packages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Portfolio rule: </w:t>
            </w:r>
            <w:r>
              <w:t>The five demos share infrastructure, but each proposed paper needs a different primary research question, contribution, evidence package, and venue fit. Do not submit materially overlapping manuscripts concurrently. Cross-cite related work, disclose shared data/code, and re-check the live call and policy immediately before submission.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200"/>
        <w:gridCol w:w="2300"/>
        <w:gridCol w:w="5860"/>
      </w:tblGrid>
      <w:tr>
        <w:trPr>
          <w:tblHeader w:val="true"/>
          <w:cantSplit/>
        </w:trPr>
        <w:tc>
          <w:tcPr>
            <w:tcW w:type="dxa" w:w="12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5"/>
              </w:rPr>
              <w:t>Demo</w:t>
            </w:r>
          </w:p>
        </w:tc>
        <w:tc>
          <w:tcPr>
            <w:tcW w:type="dxa" w:w="23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58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5"/>
              </w:rPr>
              <w:t>Distinct contribution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1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r>
              <w:t>IEEE SaTML / ESWA (Elsevier Q1; submitting Oct 2026)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Blind verification as a falsifiable security-assessment protocol; sealed commitments, localization metrics, transfer, and a patch oracle.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2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ACM CCS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Agentic software-supply-chain security: dependency, deployment, AIBOM, workflow, and exception-governance failures under a realistic threat model.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3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NeurIPS Evaluations &amp; Datasets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Evaluation design as the contribution: leakage, saturation, structure ablations, benchmark validity, uncertainty, and reusable evaluation cards.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4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IEEE Symposium on Security and Privacy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Prompt injection, tool authority, and persistent-memory poisoning across agent runtime architectures, measured with normalized traces.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5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r>
              <w:t>IEEE TDSC (submitted Oct 2026; formerly USENIX Security '27 C1)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Evidence-backed release assurance for agentic systems, including fail-closed policy gates, artifact manifests, mutation testing, and operational overhead.</w:t>
            </w:r>
          </w:p>
        </w:tc>
      </w:tr>
    </w:tbl>
    <w:p>
      <w:pPr>
        <w:pStyle w:val="Heading2"/>
        <w:keepLines/>
        <w:keepNext/>
      </w:pPr>
      <w:r>
        <w:t>Evidence contract across all five demos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Freeze repository commit, environment, prompts/configuration, ground truth, and analysis plan before confirmatory runs.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Separate exploratory development from frozen evaluation; retain failed, null, and negative-control runs.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Use multiple models/seeds and, where claimed, multiple architectures/projects; report uncertainty and practical effect sizes.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Include baselines and ablations that test the mechanism, plus checks for leakage, saturation, and scorer gaming.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Publish a reproducible artifact with machine-readable raw data, schemas, commands, provenance, licensing, and a limitations statement.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Document ethics, safety containment, data handling, generative-AI use, anonymization, and any non-releasable artifact elements.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Assessment ↔ research separation: </w:t>
            </w:r>
            <w:r>
              <w:t>Teaching runs are formative or assessed learning activities; they are not automatically research data. Any learner/participant data used for research requires prior ethics approval, informed consent where applicable, an opt-out that does not affect learning or assessment, minimization/anonymization, and a documented separation between teaching records and the frozen study corpus.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Conference planning sources: </w:t>
            </w:r>
            <w:r>
              <w:t>Official calls used for this planning snapshot; accessed 9 August 2026. Deadlines and policies can change.</w:t>
            </w:r>
          </w:p>
        </w:tc>
      </w:tr>
    </w:tbl>
    <w:p>
      <w:pPr>
        <w:pStyle w:val="ListParagraph"/>
        <w:numPr>
          <w:ilvl w:val="0"/>
          <w:numId w:val="1"/>
        </w:numPr>
        <w:spacing w:after="20"/>
        <w:keepLines/>
      </w:pPr>
      <w:r>
        <w:t>IEEE SaTML 2027 Call for Papers — https://satml.org/call-for-papers/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ACM CCS 2026 Call for Papers — https://www.sigsac.org/ccs/CCS2026/call-for/call-for-papers.html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NeurIPS 2026 Evaluations &amp; Datasets Call — https://neurips.cc/Conferences/2026/CallForEvaluationsDatasets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IEEE S&amp;P 2027 Call for Papers — https://sp2027.ieee-security.org/cfpapers.html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USENIX Security 2027 Call for Papers — https://www.usenix.org/conference/usenixsecurity27/call-for-papers</w:t>
      </w:r>
    </w:p>
    <w:p>
      <w:pPr>
        <w:pStyle w:val="Heading2"/>
        <w:keepLines/>
        <w:keepNext/>
      </w:pPr>
      <w:r>
        <w:t>Module-leader readiness gates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6060"/>
        <w:gridCol w:w="2300"/>
      </w:tblGrid>
      <w:tr>
        <w:trPr>
          <w:tblHeader w:val="true"/>
          <w:cantSplit/>
        </w:trPr>
        <w:tc>
          <w:tcPr>
            <w:tcW w:type="dxa" w:w="10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6"/>
              </w:rPr>
              <w:t>Practical</w:t>
            </w:r>
          </w:p>
        </w:tc>
        <w:tc>
          <w:tcPr>
            <w:tcW w:type="dxa" w:w="60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6"/>
              </w:rPr>
              <w:t>Before release to students</w:t>
            </w:r>
          </w:p>
        </w:tc>
        <w:tc>
          <w:tcPr>
            <w:tcW w:type="dxa" w:w="23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6"/>
              </w:rPr>
              <w:t>Current decision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1</w:t>
            </w:r>
          </w:p>
        </w:tc>
        <w:tc>
          <w:tcPr>
            <w:tcW w:type="dxa" w:w="60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Pin commit; run conference script in a clean environment; replace stale 72/22 narrative counts with machine-readable 80/46 results.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Release after final smoke test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2</w:t>
            </w:r>
          </w:p>
        </w:tc>
        <w:tc>
          <w:tcPr>
            <w:tcW w:type="dxa" w:w="60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Package v2 as a separate staged workspace; add double-triage scorer, learner fixture, and answer key.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Build required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3</w:t>
            </w:r>
          </w:p>
        </w:tc>
        <w:tc>
          <w:tcPr>
            <w:tcW w:type="dxa" w:w="60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Implement evaluation-matrix/ablation runner and evaluation-card schema; freeze leak audit.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Build required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4</w:t>
            </w:r>
          </w:p>
        </w:tc>
        <w:tc>
          <w:tcPr>
            <w:tcW w:type="dxa" w:w="60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Add runtime adapters, trace normalizer, benign/adaptive fixture matrix, and side-effect oracle.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Build required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5</w:t>
            </w:r>
          </w:p>
        </w:tc>
        <w:tc>
          <w:tcPr>
            <w:tcW w:type="dxa" w:w="60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Implement native gate, schemas, fixtures, tests, and expected reports before recording or assessment.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6"/>
              </w:rPr>
              <w:t>Not yet teachable</w:t>
            </w:r>
          </w:p>
        </w:tc>
      </w:tr>
    </w:tbl>
    <w:sectPr w:rsidR="00A303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1964CB2"/>
    <w:multiLevelType w:val="hybridMultilevel"/>
    <w:tmpl w:val="17A69EE6"/>
    <w:lvl w:ilvl="0" w:tplc="8C10A2C2">
      <w:start w:val="1"/>
      <w:numFmt w:val="bullet"/>
      <w:lvlText w:val="●"/>
      <w:lvlJc w:val="left"/>
      <w:pPr>
        <w:ind w:left="720" w:hanging="360"/>
      </w:pPr>
    </w:lvl>
    <w:lvl w:ilvl="1" w:tplc="647E9D7C">
      <w:start w:val="1"/>
      <w:numFmt w:val="bullet"/>
      <w:lvlText w:val="○"/>
      <w:lvlJc w:val="left"/>
      <w:pPr>
        <w:ind w:left="1440" w:hanging="360"/>
      </w:pPr>
    </w:lvl>
    <w:lvl w:ilvl="2" w:tplc="35E885AC">
      <w:start w:val="1"/>
      <w:numFmt w:val="bullet"/>
      <w:lvlText w:val="■"/>
      <w:lvlJc w:val="left"/>
      <w:pPr>
        <w:ind w:left="2160" w:hanging="360"/>
      </w:pPr>
    </w:lvl>
    <w:lvl w:ilvl="3" w:tplc="B240D600">
      <w:start w:val="1"/>
      <w:numFmt w:val="bullet"/>
      <w:lvlText w:val="●"/>
      <w:lvlJc w:val="left"/>
      <w:pPr>
        <w:ind w:left="2880" w:hanging="360"/>
      </w:pPr>
    </w:lvl>
    <w:lvl w:ilvl="4" w:tplc="69C8862E">
      <w:start w:val="1"/>
      <w:numFmt w:val="bullet"/>
      <w:lvlText w:val="○"/>
      <w:lvlJc w:val="left"/>
      <w:pPr>
        <w:ind w:left="3600" w:hanging="360"/>
      </w:pPr>
    </w:lvl>
    <w:lvl w:ilvl="5" w:tplc="1A3CEF58">
      <w:start w:val="1"/>
      <w:numFmt w:val="bullet"/>
      <w:lvlText w:val="■"/>
      <w:lvlJc w:val="left"/>
      <w:pPr>
        <w:ind w:left="4320" w:hanging="360"/>
      </w:pPr>
    </w:lvl>
    <w:lvl w:ilvl="6" w:tplc="86BC72E0">
      <w:start w:val="1"/>
      <w:numFmt w:val="bullet"/>
      <w:lvlText w:val="●"/>
      <w:lvlJc w:val="left"/>
      <w:pPr>
        <w:ind w:left="5040" w:hanging="360"/>
      </w:pPr>
    </w:lvl>
    <w:lvl w:ilvl="7" w:tplc="9D1CD2BE">
      <w:start w:val="1"/>
      <w:numFmt w:val="bullet"/>
      <w:lvlText w:val="●"/>
      <w:lvlJc w:val="left"/>
      <w:pPr>
        <w:ind w:left="5760" w:hanging="360"/>
      </w:pPr>
    </w:lvl>
    <w:lvl w:ilvl="8" w:tplc="599C32B8">
      <w:start w:val="1"/>
      <w:numFmt w:val="bullet"/>
      <w:lvlText w:val="●"/>
      <w:lvlJc w:val="left"/>
      <w:pPr>
        <w:ind w:left="6480" w:hanging="360"/>
      </w:pPr>
    </w:lvl>
  </w:abstractNum>
  <w:num w:numId="1" w16cid:durableId="2012101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275"/>
    <w:rsid w:val="004C0275"/>
    <w:rsid w:val="00735BD4"/>
    <w:rsid w:val="009C05B4"/>
    <w:rsid w:val="00A3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5D55C"/>
  <w15:docId w15:val="{6A7BF384-E347-A94C-8C95-45AE1574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3405</Words>
  <Characters>19415</Characters>
  <Application>Microsoft Office Word</Application>
  <DocSecurity>0</DocSecurity>
  <Lines>161</Lines>
  <Paragraphs>45</Paragraphs>
  <ScaleCrop>false</ScaleCrop>
  <Company/>
  <LinksUpToDate>false</LinksUpToDate>
  <CharactersWithSpaces>22775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Petar Radanliev</cp:lastModifiedBy>
  <cp:revision>2</cp:revision>
  <dcterms:created xsi:type="dcterms:W3CDTF">2026-08-09T19:41:00Z</dcterms:created>
  <dcterms:modified xsi:type="dcterms:W3CDTF">2026-08-09T19:41:00Z</dcterms:modified>
</cp:coreProperties>
</file>