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Bootcamp promise: </w:t>
            </w:r>
            <w:r>
              <w:t>Participants leave with five repeatable assurance patterns: blind commitment, independent supply-chain triage, evaluation design, authority-aware injection testing, and evidence-backed release gates. Every live segment ends with a runnable checkpoint and a saved artifact.</w:t>
            </w:r>
          </w:p>
        </w:tc>
      </w:tr>
    </w:tbl>
    <w:p>
      <w:pPr>
        <w:pStyle w:val="Heading1"/>
        <w:keepLines/>
        <w:keepNext/>
      </w:pPr>
      <w:r>
        <w:t>Format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Five live, hands-on sessions against blind-verification-agentic-ai; recommended 50–60 minutes per session.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One verified facilitator clone plus one pre-staged offline bundle per table/participant protects the live flow from network or tool failure.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Tool choice is flexible. The assurance logic is vendor-neutral; participants record the model/tool/version they actually use.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Session 1 is ready; Sessions 2–4 need packaged overlays/harnesses; Session 5 is explicitly a guided build until its native implementation exists.</w:t>
      </w:r>
    </w:p>
    <w:p>
      <w:pPr>
        <w:pStyle w:val="Heading2"/>
        <w:keepLines/>
        <w:keepNext/>
      </w:pPr>
      <w:r>
        <w:t>Participant setup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Clone the repository, activate the pinned environment, and run baseline tests before the bootcamp.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 synthetic local data and disposable workspaces. Do not attach production accounts, credentials, or external targets.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Create a unique run folder for each session and save raw outputs before discussion.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If a hosted assistant is unavailable, use the deterministic pre-recorded assessor output; the verification checkpoint remains live.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Session 1 — Blind Verification &amp; Executable Security Properties</w:t>
      </w:r>
    </w:p>
    <w:p>
      <w:pPr>
        <w:spacing w:after="60"/>
        <w:keepLines/>
      </w:pPr>
      <w:r>
        <w:t>Implementation status: READY  |  Research target: Expert Systems with Applications (ESWA, Elsevier JCR Q1, submitting Oct 2026; Plan B ACM TOSEM; foundation: IEEE SaTML)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Commit to a predicted failure location before reveal, score the commitment after reveal, and require an executable red-to-green patch result.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Current repository, v0-clean and v1-vulnerability; conference runner, sealed study outputs, scorer, patch oracle, and artifact packager.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It turns an agent-security explanation into a falsifiable claim. The ordering—commit, reveal, score, patch—is the control that prevents hindsight from masquerading as verification.</w:t>
      </w:r>
    </w:p>
    <w:p>
      <w:pPr>
        <w:pStyle w:val="Heading2"/>
        <w:keepLines/>
        <w:keepNext/>
      </w:pPr>
      <w:r>
        <w:t>Live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./scripts/run_conference_demo.sh --run-id &lt;unique-id&gt;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Inspect artifacts/&lt;unique-id&gt;/ and the frozen result pointers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eval/score_patch.py --arch support --variant v1-vulnerability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--patch patches/support/v1-vulnerability/fix-v1-vulnerability.diff</w:t>
            </w:r>
          </w:p>
        </w:tc>
      </w:tr>
    </w:tbl>
    <w:p>
      <w:pPr>
        <w:pStyle w:val="Heading2"/>
        <w:keepLines/>
        <w:keepNext/>
      </w:pPr>
      <w:r>
        <w:t>Time-boxed live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6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Live action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0–5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Frame the falsifiable claim and freeze the environment.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5–18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Blind prediction and seal.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18–30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Reveal and score.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30–43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Patch oracle and negative control.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43–50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Checkpoint and debrief.</w:t>
            </w:r>
          </w:p>
        </w:tc>
      </w:tr>
    </w:tbl>
    <w:p>
      <w:pPr>
        <w:pStyle w:val="Heading2"/>
        <w:keepLines/>
        <w:keepNext/>
      </w:pPr>
      <w:r>
        <w:t>Facilitator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Facilitator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Freeze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Record the repository commit, environment, assessor condition, model/tool configuration, prompt, and run ID. Do not expose the defect overlay.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Commit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Produce a schema-valid prediction with cited files, trust boundaries, failure family, and confidence. Seal its hash before reveal.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Reveal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Apply the controlled v1-vulnerability condition and preserve the reveal event separately from the prediction.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Score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Calculate localization/structure recall and compare high-structure with low-structure, random, and hindsight controls.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Patch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Apply a candidate unified diff in a clean workspace. The gold patch must pass; a wrong-target patch must remain red.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Audit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Package raw predictions, seals, ground truth, test logs, scores, software versions, and limitations without editing failed runs.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Current evidence supports instrument validity and benchmark separability—not general population performance. The sealed protocol study contains 80 runs; the LLM-tool arm contains 46 runs across seven tool configurations. In the primary support-v1 condition, high-structure recall is 0.80 versus 0 for low/random, while hindsight reaches 1.0. Human multi-lab arms remain open.</w:t>
            </w:r>
          </w:p>
        </w:tc>
      </w:tr>
    </w:tbl>
    <w:p>
      <w:pPr>
        <w:pStyle w:val="Heading2"/>
        <w:keepLines/>
        <w:keepNext/>
      </w:pPr>
      <w:r>
        <w:t>Participant checkpoint</w:t>
      </w:r>
    </w:p>
    <w:p>
      <w:pPr>
        <w:spacing w:after="60"/>
        <w:keepLines/>
      </w:pPr>
      <w:r>
        <w:rPr>
          <w:i w:val="0"/>
        </w:rPr>
        <w:t>Show the sealed prediction, the post-reveal score, and one patch-oracle result; explain why a hindsight explanation does not count.</w:t>
      </w:r>
    </w:p>
    <w:p>
      <w:pPr>
        <w:pStyle w:val="Heading2"/>
        <w:keepLines/>
        <w:keepNext/>
      </w:pPr>
      <w:r>
        <w:t>Evidence to save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Sealed pre-reveal prediction and independent reveal log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Ground-truth file/failure-family mapping and scorer output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High/low/random/hindsight conditions with uncertainty and exact tests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Gold-patch success plus wrong-target negative control</w:t>
      </w:r>
    </w:p>
    <w:p>
      <w:pPr>
        <w:pStyle w:val="Heading2"/>
        <w:keepLines/>
        <w:keepNext/>
      </w:pPr>
      <w:r>
        <w:t>Live fallback</w:t>
      </w:r>
    </w:p>
    <w:p>
      <w:pPr>
        <w:spacing w:after="60"/>
        <w:keepLines/>
      </w:pPr>
      <w:r>
        <w:rPr>
          <w:i w:val="0"/>
        </w:rPr>
        <w:t>Use the frozen study outputs and a prebuilt artifact pack; rerun only the patch oracle locally.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Paper claim: blind structure improves pre-reveal localization and can be falsified by controlled baselines. Extend with preregistered human labs, additional architectures/defect families, calibration curves, and a frozen analysis script. Keep all N values sourced from machine-readable result files; several narrative files still contain older 72/22 counts and must be refreshed before submission.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Session 2 — Agentic Supply-Chain &amp; AIBOM Drift</w:t>
      </w:r>
    </w:p>
    <w:p>
      <w:pPr>
        <w:spacing w:after="60"/>
        <w:keepLines/>
      </w:pPr>
      <w:r>
        <w:rPr>
          <w:i/>
          <w:color w:val="24576A"/>
        </w:rPr>
        <w:t>Implementation status: PARTIAL — scanner and CI control exist; teaching and study harness remain  |  Research target: ACM CCS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Detect and explain dependency, deployment, AIBOM, workflow, and permission drift; then evaluate whether an agent's triage is complete, correctly prioritized, and safely governed.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benchmark/variants/v2-supply-chain-drift, scripts/verify_aibom.py, signed triage approvals, CI workflow, and scanner tests.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A single ‘secure’ label hides several independent failure families. The contribution must model plausible threat surfaces and prove that triage generalizes beyond one curated example.</w:t>
      </w:r>
    </w:p>
    <w:p>
      <w:pPr>
        <w:pStyle w:val="Heading2"/>
        <w:keepLines/>
        <w:keepNext/>
      </w:pPr>
      <w:r>
        <w:t>Live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python scripts/verify_aibom.py --format text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Instructor/research overlay: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scripts/verify_aibom.py --root benchmark/variants/v2-supply-chain-drift --format json</w:t>
            </w:r>
          </w:p>
        </w:tc>
      </w:tr>
    </w:tbl>
    <w:p>
      <w:pPr>
        <w:pStyle w:val="Heading2"/>
        <w:keepLines/>
        <w:keepNext/>
      </w:pPr>
      <w:r>
        <w:t>Time-boxed live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6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Live action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0–7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Threat model and clean baseline.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7–22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Independent dependency/AIBOM and deployment triage.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22–35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Reconcile 11 atomic findings into three families.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35–44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Signed exception cases.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44–50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Checkpoint and debrief.</w:t>
            </w:r>
          </w:p>
        </w:tc>
      </w:tr>
    </w:tbl>
    <w:p>
      <w:pPr>
        <w:pStyle w:val="Heading2"/>
        <w:keepLines/>
        <w:keepNext/>
      </w:pPr>
      <w:r>
        <w:t>Facilitator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Facilitator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Baseline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the fail-closed scanner on the clean repository and retain the zero-open-findings report.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Stage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Use an instructor-prepared workspace containing the v2 overlay; it is a directory variant, not a promised Git tag.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Triage A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Have the agent assess the dependency lock and AIBOM without reading the answer key. Record finding fingerprints and severity.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Triage B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Independently inspect the deployment manifest, permissions, and workflow references. Prevent the second assessor from reading Triage 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Reconcile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Map atomic findings to three ground-truth families: dependency drift, privileged/writable deployment, and AIBOM integrity.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Govern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Demonstrate that only a time-limited, reviewer-attributed, HMAC-signed exception can suppress a finding; expiry or tampering must fail closed.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The implemented scanner passes on the clean baseline and reports 11 atomic findings in the staged v2 overlay. Those findings cluster into three planted ground-truth families. This is implementation evidence, not yet a publication-ready comparative study.</w:t>
            </w:r>
          </w:p>
        </w:tc>
      </w:tr>
    </w:tbl>
    <w:p>
      <w:pPr>
        <w:pStyle w:val="Heading2"/>
        <w:keepLines/>
        <w:keepNext/>
      </w:pPr>
      <w:r>
        <w:t>Participant checkpoint</w:t>
      </w:r>
    </w:p>
    <w:p>
      <w:pPr>
        <w:spacing w:after="60"/>
        <w:keepLines/>
      </w:pPr>
      <w:r>
        <w:rPr>
          <w:i w:val="0"/>
        </w:rPr>
        <w:t>Submit the JSON report and identify the three defect families; demonstrate one valid and one rejected exception record.</w:t>
      </w:r>
    </w:p>
    <w:p>
      <w:pPr>
        <w:pStyle w:val="Heading2"/>
        <w:keepLines/>
        <w:keepNext/>
      </w:pPr>
      <w:r>
        <w:t>Evidence to save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Clean and drifted JSON reports with stable path:line fingerprints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Independent assessor outputs and reconciliation record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Ground-truth family labels plus completeness/severity/conflict metrics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Valid, expired, tampered, and unsigned exception cases</w:t>
      </w:r>
    </w:p>
    <w:p>
      <w:pPr>
        <w:pStyle w:val="Heading2"/>
        <w:keepLines/>
        <w:keepNext/>
      </w:pPr>
      <w:r>
        <w:t>Live fallback</w:t>
      </w:r>
    </w:p>
    <w:p>
      <w:pPr>
        <w:spacing w:after="60"/>
        <w:keepLines/>
      </w:pPr>
      <w:r>
        <w:rPr>
          <w:i w:val="0"/>
        </w:rPr>
        <w:t>Use saved clean/drifted scanner JSON; validate a signed-exception fixture locally.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CCS package: state an attacker capability and end-to-end threat model; compare deterministic scanner, single-agent, independent double-triage, and human review; report recall by family, severity calibration, resolution latency, false positives, and exception abuse. Add multiple projects/ecosystems, adaptive drift, ablations, and an artifact/Open Science appendix. A few successful examples alone are not the paper.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Session 3 — Evaluation Design: Structure, Leakage, Saturation &amp; Executable Invariants</w:t>
      </w:r>
    </w:p>
    <w:p>
      <w:pPr>
        <w:spacing w:after="60"/>
        <w:keepLines/>
      </w:pPr>
      <w:r>
        <w:rPr>
          <w:i/>
          <w:color w:val="24576A"/>
        </w:rPr>
        <w:t>Implementation status: PARTIAL — formalism, architecture assessor, ground truth, and invariants exist; evaluation-card and ablation runner remain  |  Research target: NeurIPS Evaluations &amp; Datasets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Treat evaluation design—not another vulnerability—as the object of study, and show when a benchmark can or cannot support the claim made for it.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eval/bpvr_formalism.md, assessors/architecture_review.py, eval/ground_truth.yaml, invariants.yaml, and the frozen study outputs.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Evaluation can leak answers, saturate, reward vague predictions, or confuse file localization with causal understanding. A reusable protocol must expose those failure modes.</w:t>
      </w:r>
    </w:p>
    <w:p>
      <w:pPr>
        <w:pStyle w:val="Heading2"/>
        <w:keepLines/>
        <w:keepNext/>
      </w:pPr>
      <w:r>
        <w:t>Live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# Planned evaluation-card interface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eval/run_evaluation_matrix.py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--conditions high,low,manual,random,hindsight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--ablations source_refs,trust_boundaries,confidence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--output artifacts/evaluation-card.json</w:t>
            </w:r>
          </w:p>
        </w:tc>
      </w:tr>
    </w:tbl>
    <w:p>
      <w:pPr>
        <w:pStyle w:val="Heading2"/>
        <w:keepLines/>
        <w:keepNext/>
      </w:pPr>
      <w:r>
        <w:t>Time-boxed live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6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Live action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0–8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Write claim/non-claim and inspect evaluation card.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8–22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conditions and leak audit.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22–36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Ablations and saturation stress.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36–44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Interpret uncertainty/negative results.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44–50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Checkpoint and debrief.</w:t>
            </w:r>
          </w:p>
        </w:tc>
      </w:tr>
    </w:tbl>
    <w:p>
      <w:pPr>
        <w:pStyle w:val="Heading2"/>
        <w:keepLines/>
        <w:keepNext/>
      </w:pPr>
      <w:r>
        <w:t>Facilitator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Facilitator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Claim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Write the exact construct being measured and the claims it does not support.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Leak audit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Search prompts, filenames, paths, commit history, fixtures, and packaging for answer-bearing cues. Record every removed cue.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Condition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high-structure, low-structure, manual/static, random, and hindsight controls under the same reveal and scoring rules.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Ablate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Remove source references, trust-boundary structure, confidence, and patch execution one at a time.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Stress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Vary defect prevalence, ambiguity, architecture, and localization granularity; look for ceiling/floor effects and metric gaming.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Card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Publish the dataset/evaluation card, raw predictions, scoring implementation, uncertainty, known limitations, and intended use.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A valid benchmark must separate informative from uninformative conditions, remain stable under harmless formatting changes, and fail visibly under leakage or metric gaming. Report negative and saturated results; they define the boundary of the evaluation.</w:t>
            </w:r>
          </w:p>
        </w:tc>
      </w:tr>
    </w:tbl>
    <w:p>
      <w:pPr>
        <w:pStyle w:val="Heading2"/>
        <w:keepLines/>
        <w:keepNext/>
      </w:pPr>
      <w:r>
        <w:t>Participant checkpoint</w:t>
      </w:r>
    </w:p>
    <w:p>
      <w:pPr>
        <w:spacing w:after="60"/>
        <w:keepLines/>
      </w:pPr>
      <w:r>
        <w:rPr>
          <w:i w:val="0"/>
        </w:rPr>
        <w:t>Name one leakage channel, one ablation that changes the conclusion, and one claim the benchmark cannot support.</w:t>
      </w:r>
    </w:p>
    <w:p>
      <w:pPr>
        <w:pStyle w:val="Heading2"/>
        <w:keepLines/>
        <w:keepNext/>
      </w:pPr>
      <w:r>
        <w:t>Evidence to save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Claim-to-metric table with assumptions and non-claims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Leakage audit and provenance/freeze record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Full condition-by-variant matrix, not selected success cases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Ablation effects with confidence intervals and multiple-comparison policy</w:t>
      </w:r>
    </w:p>
    <w:p>
      <w:pPr>
        <w:pStyle w:val="Heading2"/>
        <w:keepLines/>
        <w:keepNext/>
      </w:pPr>
      <w:r>
        <w:t>Live fallback</w:t>
      </w:r>
    </w:p>
    <w:p>
      <w:pPr>
        <w:spacing w:after="60"/>
        <w:keepLines/>
      </w:pPr>
      <w:r>
        <w:rPr>
          <w:i w:val="0"/>
        </w:rPr>
        <w:t>Use the precomputed condition matrix; perform the claim/non-claim and leakage analysis live.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NeurIPS E&amp;D package: make evaluation methodology the distinct contribution. Compare evaluation designs, quantify leakage and saturation, test robustness and ablations, and release a reusable protocol. Do not simply resubmit the SaTML security result with a new introduction; use Demo 1 as a cited case study inside a broader evaluation contribution.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Session 4 — Prompt Injection, Tool Authority &amp; Persistent-Memory Poisoning</w:t>
      </w:r>
    </w:p>
    <w:p>
      <w:pPr>
        <w:spacing w:after="60"/>
        <w:keepLines/>
      </w:pPr>
      <w:r>
        <w:rPr>
          <w:i/>
          <w:color w:val="24576A"/>
        </w:rPr>
        <w:t>Implementation status: PARTIAL — memory-poison fixture, rollback verification, clean invariant test, and LLM v3 arms exist; runtime matrix remains  |  Research target: IEEE Symposium on Security and Privacy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Trace how untrusted content becomes persistent instruction or an authorized tool action, then test controls across genuinely different runtime architectures.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benchmark/variants/v3-poisoned-memory, app/memory, app/tools/email_draft.py, tests/test_memory_poisoning.py, and sealed LLM-tool results.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Prompt injection is consequential only when it crosses authority or persistence boundaries. The study must capture traces and side effects, not merely whether a model repeats an attack string.</w:t>
      </w:r>
    </w:p>
    <w:p>
      <w:pPr>
        <w:pStyle w:val="Heading2"/>
        <w:keepLines/>
        <w:keepNext/>
      </w:pPr>
      <w:r>
        <w:t>Live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pytest tests/test_memory_poisoning.py -q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Planned normalized trace record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{"source":"memory","trust":"untrusted","decision":"blocked",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"tool":"email_draft","side_effect":false,"reason":"signature_invalid"}</w:t>
            </w:r>
          </w:p>
        </w:tc>
      </w:tr>
    </w:tbl>
    <w:p>
      <w:pPr>
        <w:pStyle w:val="Heading2"/>
        <w:keepLines/>
        <w:keepNext/>
      </w:pPr>
      <w:r>
        <w:t>Time-boxed live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6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Live action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0–8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Model authority/persistence boundaries.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8–22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benign and injection fixtures.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22–35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Normalize traces and apply controls.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35–44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Adaptive variants and false refusals.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44–50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Checkpoint and debrief.</w:t>
            </w:r>
          </w:p>
        </w:tc>
      </w:tr>
    </w:tbl>
    <w:p>
      <w:pPr>
        <w:pStyle w:val="Heading2"/>
        <w:keepLines/>
        <w:keepNext/>
      </w:pPr>
      <w:r>
        <w:t>Facilitator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Facilitator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Model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Declare assets, attacker control, user intent, tool scopes, persistence boundaries, and the prohibited side effects.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Seed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Introduce unsigned or tampered memory content in the staged v3 overlay and preserve the payload hash.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Exercise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benign, direct-injection, indirect-injection, and multi-turn persistence cases against each runtime adapter.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Trace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Normalize observations into source, trust label, policy decision, tool request, authorization, side effect, and reason.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Control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Compare signature verification, provenance labels, least-privilege tool scopes, confirmation, and rollback; include control combinations.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Adapt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Red-team paraphrases, encoding, split payloads, delayed triggers, and benign look-alikes; retain false-refusal results.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The clean test currently checks signed memory and rejects a known injection phrase. Conference evidence still requires an adapter matrix, side-effect oracles, adaptive attacks, benign controls, and a clear distinction between native runtime controls and wrapper-enforced controls.</w:t>
            </w:r>
          </w:p>
        </w:tc>
      </w:tr>
    </w:tbl>
    <w:p>
      <w:pPr>
        <w:pStyle w:val="Heading2"/>
        <w:keepLines/>
        <w:keepNext/>
      </w:pPr>
      <w:r>
        <w:t>Participant checkpoint</w:t>
      </w:r>
    </w:p>
    <w:p>
      <w:pPr>
        <w:spacing w:after="60"/>
        <w:keepLines/>
      </w:pPr>
      <w:r>
        <w:rPr>
          <w:i w:val="0"/>
        </w:rPr>
        <w:t>Show a normalized trace and the side-effect oracle for one blocked attack and one allowed benign request.</w:t>
      </w:r>
    </w:p>
    <w:p>
      <w:pPr>
        <w:pStyle w:val="Heading2"/>
        <w:keepLines/>
        <w:keepNext/>
      </w:pPr>
      <w:r>
        <w:t>Evidence to save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Threat model and attack/benign fixture manifest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Normalized trace plus independent side-effect oracle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Attack success, control efficacy, false refusal, and persistence duration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Native-runtime, wrapper, and deterministic-harness comparison</w:t>
      </w:r>
    </w:p>
    <w:p>
      <w:pPr>
        <w:pStyle w:val="Heading2"/>
        <w:keepLines/>
        <w:keepNext/>
      </w:pPr>
      <w:r>
        <w:t>Live fallback</w:t>
      </w:r>
    </w:p>
    <w:p>
      <w:pPr>
        <w:spacing w:after="60"/>
        <w:keepLines/>
      </w:pPr>
      <w:r>
        <w:rPr>
          <w:i w:val="0"/>
        </w:rPr>
        <w:t>Use recorded traces; run the deterministic memory invariant and side-effect oracle live.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IEEE S&amp;P package: emphasize a novel systems-security result about authority and persistence boundaries. Test multiple agent architectures with one trace schema; measure attack success, unauthorized side effects, false refusals, and control cost. Freeze/anonymize artifacts and disclose ethics and generative-AI use as required by the current CFP.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Session 5 — Evidence-Backed Release Assurance for Agentic Systems</w:t>
      </w:r>
    </w:p>
    <w:p>
      <w:pPr>
        <w:spacing w:after="60"/>
        <w:keepLines/>
      </w:pPr>
      <w:r>
        <w:t>Implementation status: READY — reference implementation, Merkle attestation and witness protocol complete  |  Research target: IEEE TDSC (submitted Oct 2026; formerly USENIX Security '27 C1)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Make release approval depend on fresh, attributable, policy-complete evidence rather than a persuasive narrative or a single green test suite.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Proposed repository-native scripts/assure_release.py plus evidence_manifest.yaml, release_policy.yaml, assurance_report.json, and mutation variants.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Agentic releases combine model, prompt, tool, identity, memory, dependency, and deployment evidence. A fail-open or stale-evidence gate can approve a release whose tests individually look healthy.</w:t>
      </w:r>
    </w:p>
    <w:p>
      <w:pPr>
        <w:pStyle w:val="Heading2"/>
        <w:keepLines/>
        <w:keepNext/>
      </w:pPr>
      <w:r>
        <w:t>Live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# Target interface to implement before teaching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scripts/assure_release.py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--manifest evidence_manifest.yaml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--policy release_policy.yaml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--report assurance_report.json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Exit 0 only when every required item is fresh, attributable, and policy-valid.</w:t>
            </w:r>
          </w:p>
        </w:tc>
      </w:tr>
    </w:tbl>
    <w:p>
      <w:pPr>
        <w:pStyle w:val="Heading2"/>
        <w:keepLines/>
        <w:keepNext/>
      </w:pPr>
      <w:r>
        <w:t>Time-boxed live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6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Live action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0–8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Define policy/evidence contract.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8–25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Implement or complete the deterministic gate.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25–38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mutation corpus.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38–45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Compare decisions/overhead.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45–55 min</w:t>
            </w:r>
          </w:p>
        </w:tc>
        <w:tc>
          <w:tcPr>
            <w:tcW w:type="dxa" w:w="76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Checkpoint and debrief.</w:t>
            </w:r>
          </w:p>
        </w:tc>
      </w:tr>
    </w:tbl>
    <w:p>
      <w:pPr>
        <w:pStyle w:val="Heading2"/>
        <w:keepLines/>
        <w:keepNext/>
      </w:pPr>
      <w:r>
        <w:t>Facilitator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Facilitator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Specify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Define the release claim, required evidence types, owners, freshness windows, and fail-closed policy.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Build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Implement a deterministic validator and JSON report before introducing an agent-generated summary.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Mutate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Create isolated missing, stale, contradictory, misattributed, tampered, and policy-waived evidence variants.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Decide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Compare deterministic gate, agent-assisted evidence collection, and human review without letting prose override policy.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Verify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Use known-good, known-bad, and mixed manifests; check both false passes and false blocks.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Measure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Record completeness, decision accuracy, time-to-decision, reviewer effort, policy coverage, and runtime overhead.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The target artifact must produce machine-readable reasons for every pass, block, and exception. Until the script, schemas, fixtures, and tests exist, this demo remains a documented research and production plan—not a claimed implementation.</w:t>
            </w:r>
          </w:p>
        </w:tc>
      </w:tr>
    </w:tbl>
    <w:p>
      <w:pPr>
        <w:pStyle w:val="Heading2"/>
        <w:keepLines/>
        <w:keepNext/>
      </w:pPr>
      <w:r>
        <w:t>Participant checkpoint</w:t>
      </w:r>
    </w:p>
    <w:p>
      <w:pPr>
        <w:spacing w:after="60"/>
        <w:keepLines/>
      </w:pPr>
      <w:r>
        <w:rPr>
          <w:i w:val="0"/>
        </w:rPr>
        <w:t>Produce one policy pass and two distinct policy blocks with machine-readable reason codes.</w:t>
      </w:r>
    </w:p>
    <w:p>
      <w:pPr>
        <w:pStyle w:val="Heading2"/>
        <w:keepLines/>
        <w:keepNext/>
      </w:pPr>
      <w:r>
        <w:t>Evidence to save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Versioned evidence manifest, policy, schemas, and provenance rules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Deterministic assurance report with stable reason codes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Known-good/bad/mixed mutation corpus and expected decisions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False-pass, false-block, completeness, latency, and overhead results</w:t>
      </w:r>
    </w:p>
    <w:p>
      <w:pPr>
        <w:pStyle w:val="Heading2"/>
        <w:keepLines/>
        <w:keepNext/>
      </w:pPr>
      <w:r>
        <w:t>Live fallback</w:t>
      </w:r>
    </w:p>
    <w:p>
      <w:pPr>
        <w:spacing w:after="60"/>
        <w:keepLines/>
      </w:pPr>
      <w:r>
        <w:rPr>
          <w:i w:val="0"/>
        </w:rPr>
        <w:t>Use a prebuilt validator skeleton and three local mutation fixtures; avoid improvising untested release logic on stage.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USENIX Security package: evaluate a real, repository-native release gate across multiple agentic systems and mutation families. Report operational trade-offs and negative results. The artifact must reproduce figures/tables and document which evidence can be released; USENIX's current call requires an Open Science appendix and gives the artifact a short post-submission grace period.</w:t>
      </w:r>
    </w:p>
    <w:p>
      <w:r>
        <w:br w:type="page"/>
      </w:r>
    </w:p>
    <w:p>
      <w:pPr>
        <w:pStyle w:val="Heading1"/>
        <w:keepLines/>
        <w:keepNext/>
      </w:pPr>
      <w:r>
        <w:t>One programme, five distinct contribution packages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Portfolio rule: </w:t>
            </w:r>
            <w:r>
              <w:t>The five demos share infrastructure, but each proposed paper needs a different primary research question, contribution, evidence package, and venue fit. Do not submit materially overlapping manuscripts concurrently. Cross-cite related work, disclose shared data/code, and re-check the live call and policy immediately before submission.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200"/>
        <w:gridCol w:w="2300"/>
        <w:gridCol w:w="5860"/>
      </w:tblGrid>
      <w:tr>
        <w:trPr>
          <w:tblHeader w:val="true"/>
          <w:cantSplit/>
        </w:trPr>
        <w:tc>
          <w:tcPr>
            <w:tcW w:type="dxa" w:w="12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5"/>
              </w:rPr>
              <w:t>Demo</w:t>
            </w:r>
          </w:p>
        </w:tc>
        <w:tc>
          <w:tcPr>
            <w:tcW w:type="dxa" w:w="23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58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5"/>
              </w:rPr>
              <w:t>Distinct contribution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1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r>
              <w:t>IEEE SaTML / ESWA (Elsevier Q1; submitting Oct 2026)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Blind verification as a falsifiable security-assessment protocol; sealed commitments, localization metrics, transfer, and a patch oracle.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2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ACM CCS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Agentic software-supply-chain security: dependency, deployment, AIBOM, workflow, and exception-governance failures under a realistic threat model.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3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NeurIPS Evaluations &amp; Datasets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Evaluation design as the contribution: leakage, saturation, structure ablations, benchmark validity, uncertainty, and reusable evaluation cards.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4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IEEE Symposium on Security and Privacy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Prompt injection, tool authority, and persistent-memory poisoning across agent runtime architectures, measured with normalized traces.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5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r>
              <w:t>IEEE TDSC (submitted Oct 2026; formerly USENIX Security '27 C1)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Evidence-backed release assurance for agentic systems, including fail-closed policy gates, artifact manifests, mutation testing, and operational overhead.</w:t>
            </w:r>
          </w:p>
        </w:tc>
      </w:tr>
    </w:tbl>
    <w:p>
      <w:pPr>
        <w:pStyle w:val="Heading2"/>
        <w:keepLines/>
        <w:keepNext/>
      </w:pPr>
      <w:r>
        <w:t>Evidence contract across all five demos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Freeze repository commit, environment, prompts/configuration, ground truth, and analysis plan before confirmatory runs.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Separate exploratory development from frozen evaluation; retain failed, null, and negative-control runs.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 multiple models/seeds and, where claimed, multiple architectures/projects; report uncertainty and practical effect sizes.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Include baselines and ablations that test the mechanism, plus checks for leakage, saturation, and scorer gaming.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Publish a reproducible artifact with machine-readable raw data, schemas, commands, provenance, licensing, and a limitations statement.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Document ethics, safety containment, data handling, generative-AI use, anonymization, and any non-releasable artifact elements.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Participant ↔ research separation: </w:t>
            </w:r>
            <w:r>
              <w:t>Teaching runs are formative or assessed learning activities; they are not automatically research data. Any learner/participant data used for research requires prior ethics approval, informed consent where applicable, an opt-out that does not affect learning or assessment, minimization/anonymization, and a documented separation between teaching records and the frozen study corpus.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Conference planning sources: </w:t>
            </w:r>
            <w:r>
              <w:t>Official calls used for this planning snapshot; accessed 9 August 2026. Deadlines and policies can change.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  <w:keepLines/>
      </w:pPr>
      <w:r>
        <w:t>IEEE SaTML 2027 Call for Papers — https://satml.org/call-for-papers/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ACM CCS 2026 Call for Papers — https://www.sigsac.org/ccs/CCS2026/call-for/call-for-papers.html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NeurIPS 2026 Evaluations &amp; Datasets Call — https://neurips.cc/Conferences/2026/CallForEvaluationsDatasets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IEEE S&amp;P 2027 Call for Papers — https://sp2027.ieee-security.org/cfpapers.html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USENIX Security 2027 Call for Papers — https://www.usenix.org/conference/usenixsecurity27/call-for-papers</w:t>
      </w:r>
    </w:p>
    <w:p>
      <w:r>
        <w:br w:type="page"/>
      </w:r>
    </w:p>
    <w:p>
      <w:pPr>
        <w:pStyle w:val="Heading2"/>
        <w:keepLines/>
        <w:keepNext/>
      </w:pPr>
      <w:r>
        <w:t>Facilitator go/no-go checklist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Run every advertised command from a clean clone and archive the exact output used in slides/handouts.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Prepare offline wheels/environment, variant bundles, answer keys, deterministic fallbacks, and a reset script.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Display READY/PARTIAL/PLANNED status; never narrate a proposed interface as an existing repository feature.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 current machine-readable sample counts (80 protocol; 46 LLM-tool), flag stale 72/22 narrative files, and end at the checkpoint even if an assistant fails—the lesson is the verification artifact, not the model performance.</w:t>
      </w:r>
    </w:p>
    <w:sectPr w:rsidR="00A822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8E373D"/>
    <w:multiLevelType w:val="hybridMultilevel"/>
    <w:tmpl w:val="33A0E82E"/>
    <w:lvl w:ilvl="0" w:tplc="CDB897F6">
      <w:start w:val="1"/>
      <w:numFmt w:val="bullet"/>
      <w:lvlText w:val="●"/>
      <w:lvlJc w:val="left"/>
      <w:pPr>
        <w:ind w:left="720" w:hanging="360"/>
      </w:pPr>
    </w:lvl>
    <w:lvl w:ilvl="1" w:tplc="2A881722">
      <w:start w:val="1"/>
      <w:numFmt w:val="bullet"/>
      <w:lvlText w:val="○"/>
      <w:lvlJc w:val="left"/>
      <w:pPr>
        <w:ind w:left="1440" w:hanging="360"/>
      </w:pPr>
    </w:lvl>
    <w:lvl w:ilvl="2" w:tplc="B4EC542E">
      <w:start w:val="1"/>
      <w:numFmt w:val="bullet"/>
      <w:lvlText w:val="■"/>
      <w:lvlJc w:val="left"/>
      <w:pPr>
        <w:ind w:left="2160" w:hanging="360"/>
      </w:pPr>
    </w:lvl>
    <w:lvl w:ilvl="3" w:tplc="E3CEDC30">
      <w:start w:val="1"/>
      <w:numFmt w:val="bullet"/>
      <w:lvlText w:val="●"/>
      <w:lvlJc w:val="left"/>
      <w:pPr>
        <w:ind w:left="2880" w:hanging="360"/>
      </w:pPr>
    </w:lvl>
    <w:lvl w:ilvl="4" w:tplc="C04E2C1C">
      <w:start w:val="1"/>
      <w:numFmt w:val="bullet"/>
      <w:lvlText w:val="○"/>
      <w:lvlJc w:val="left"/>
      <w:pPr>
        <w:ind w:left="3600" w:hanging="360"/>
      </w:pPr>
    </w:lvl>
    <w:lvl w:ilvl="5" w:tplc="A1969D1C">
      <w:start w:val="1"/>
      <w:numFmt w:val="bullet"/>
      <w:lvlText w:val="■"/>
      <w:lvlJc w:val="left"/>
      <w:pPr>
        <w:ind w:left="4320" w:hanging="360"/>
      </w:pPr>
    </w:lvl>
    <w:lvl w:ilvl="6" w:tplc="C7082CF2">
      <w:start w:val="1"/>
      <w:numFmt w:val="bullet"/>
      <w:lvlText w:val="●"/>
      <w:lvlJc w:val="left"/>
      <w:pPr>
        <w:ind w:left="5040" w:hanging="360"/>
      </w:pPr>
    </w:lvl>
    <w:lvl w:ilvl="7" w:tplc="C402FFC4">
      <w:start w:val="1"/>
      <w:numFmt w:val="bullet"/>
      <w:lvlText w:val="●"/>
      <w:lvlJc w:val="left"/>
      <w:pPr>
        <w:ind w:left="5760" w:hanging="360"/>
      </w:pPr>
    </w:lvl>
    <w:lvl w:ilvl="8" w:tplc="AA482E2A">
      <w:start w:val="1"/>
      <w:numFmt w:val="bullet"/>
      <w:lvlText w:val="●"/>
      <w:lvlJc w:val="left"/>
      <w:pPr>
        <w:ind w:left="6480" w:hanging="360"/>
      </w:pPr>
    </w:lvl>
  </w:abstractNum>
  <w:num w:numId="1" w16cid:durableId="1972516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A01"/>
    <w:rsid w:val="00662A01"/>
    <w:rsid w:val="00735BD4"/>
    <w:rsid w:val="00A8224D"/>
    <w:rsid w:val="00D6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D25C6"/>
  <w15:docId w15:val="{6A7BF384-E347-A94C-8C95-45AE1574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2868</Words>
  <Characters>16348</Characters>
  <Application>Microsoft Office Word</Application>
  <DocSecurity>0</DocSecurity>
  <Lines>136</Lines>
  <Paragraphs>38</Paragraphs>
  <ScaleCrop>false</ScaleCrop>
  <Company/>
  <LinksUpToDate>false</LinksUpToDate>
  <CharactersWithSpaces>19178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Petar Radanliev</cp:lastModifiedBy>
  <cp:revision>2</cp:revision>
  <dcterms:created xsi:type="dcterms:W3CDTF">2026-08-09T09:36:00Z</dcterms:created>
  <dcterms:modified xsi:type="dcterms:W3CDTF">2026-08-09T09:36:00Z</dcterms:modified>
</cp:coreProperties>
</file>