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 w:val="clear"/>
            <w:tcBorders>
              <w:top w:val="single" w:sz="8" w:color="2E5D6B"/>
              <w:left w:val="single" w:sz="8" w:color="2E5D6B"/>
              <w:bottom w:val="single" w:sz="8" w:color="2E5D6B"/>
              <w:right w:val="single" w:sz="8" w:color="2E5D6B"/>
              <w:insideH w:val="single" w:sz="8" w:color="2E5D6B"/>
              <w:insideV w:val="single" w:sz="8" w:color="2E5D6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24576A"/>
              </w:rPr>
              <w:t xml:space="preserve">Course promise: </w:t>
            </w:r>
            <w:r>
              <w:t>A self-paced, vendor-neutral video course showing how to turn agentic-AI security claims into reproducible evidence. Each module follows the same rhythm: claim, clean state, controlled failure, control, proof, limitation, learner lab.</w:t>
            </w:r>
          </w:p>
        </w:tc>
      </w:tr>
    </w:tbl>
    <w:p>
      <w:pPr>
        <w:pStyle w:val="Heading1"/>
        <w:keepLines/>
        <w:keepNext/>
      </w:pPr>
      <w:r>
        <w:t>How the course works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Five modules built on blind-verification-agentic-ai, with downloadable local-only lab bundles and expected outputs.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Videos clearly label implemented, partial, and planned features. Proposed commands appear only after a working implementation is added to the learner bundle.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The presenter names the evidence and limitation on screen; vendor interfaces are illustrative, never the source of truth.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Every module contains a pause-and-try lab, a knowledge check, transcript-ready definitions, and an accessibility-described command/output sequence.</w:t>
      </w:r>
    </w:p>
    <w:p>
      <w:pPr>
        <w:pStyle w:val="Heading2"/>
        <w:keepLines/>
        <w:keepNext/>
      </w:pPr>
      <w:r>
        <w:t>Safety and prerequisites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Use synthetic data, fake credentials, localhost/non-routable services, and disposable environments only.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Learners need Git, a supported Python environment, terminal familiarity, and the downloadable repository snapshot.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A model assistant is optional. Precomputed assessor outputs are included so the verification lesson is reproducible without a paid service.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Raw traces may contain prompts or local paths; demonstrate redaction before sharing screenshots or lab reports.</w:t>
      </w:r>
    </w:p>
    <w:p>
      <w:pPr>
        <w:spacing w:before="80" w:after="80"/>
        <w:pBdr>
          <w:bottom w:val="single" w:sz="6" w:space="1" w:color="B7B7B7"/>
        </w:pBdr>
        <w:keepLines/>
        <w:keepNext/>
      </w:pPr>
    </w:p>
    <w:p>
      <w:pPr>
        <w:pStyle w:val="Heading1"/>
        <w:keepLines/>
        <w:keepNext/>
      </w:pPr>
      <w:r>
        <w:t>Module 1 — Blind Verification &amp; Executable Security Properties</w:t>
      </w:r>
    </w:p>
    <w:p>
      <w:pPr>
        <w:spacing w:after="60"/>
        <w:keepLines/>
      </w:pPr>
      <w:r>
        <w:t>Implementation status: READY  |  Research target: Expert Systems with Applications (ESWA, Elsevier JCR Q1, submitting Oct 2026; Plan B ACM TOSEM; foundation: IEEE SaTML)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 w:val="clear"/>
            <w:tcBorders>
              <w:top w:val="single" w:sz="8" w:color="2E5D6B"/>
              <w:left w:val="single" w:sz="8" w:color="2E5D6B"/>
              <w:bottom w:val="single" w:sz="8" w:color="2E5D6B"/>
              <w:right w:val="single" w:sz="8" w:color="2E5D6B"/>
              <w:insideH w:val="single" w:sz="8" w:color="2E5D6B"/>
              <w:insideV w:val="single" w:sz="8" w:color="2E5D6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24576A"/>
              </w:rPr>
              <w:t xml:space="preserve">Learning outcome: </w:t>
            </w:r>
            <w:r>
              <w:t>Commit to a predicted failure location before reveal, score the commitment after reveal, and require an executable red-to-green patch result.</w:t>
            </w:r>
          </w:p>
        </w:tc>
      </w:tr>
    </w:tbl>
    <w:p>
      <w:pPr>
        <w:pStyle w:val="Heading2"/>
        <w:keepLines/>
        <w:keepNext/>
      </w:pPr>
      <w:r>
        <w:t>Repository surface</w:t>
      </w:r>
    </w:p>
    <w:p>
      <w:pPr>
        <w:spacing w:after="60"/>
        <w:keepLines/>
      </w:pPr>
      <w:r>
        <w:rPr>
          <w:i w:val="0"/>
        </w:rPr>
        <w:t>Current repository, v0-clean and v1-vulnerability; conference runner, sealed study outputs, scorer, patch oracle, and artifact packager.</w:t>
      </w:r>
    </w:p>
    <w:p>
      <w:pPr>
        <w:pStyle w:val="Heading2"/>
        <w:keepLines/>
        <w:keepNext/>
      </w:pPr>
      <w:r>
        <w:t>Why this matters</w:t>
      </w:r>
    </w:p>
    <w:p>
      <w:pPr>
        <w:spacing w:after="60"/>
        <w:keepLines/>
      </w:pPr>
      <w:r>
        <w:rPr>
          <w:i w:val="0"/>
        </w:rPr>
        <w:t>It turns an agent-security explanation into a falsifiable claim. The ordering—commit, reveal, score, patch—is the control that prevents hindsight from masquerading as verification.</w:t>
      </w:r>
    </w:p>
    <w:p>
      <w:pPr>
        <w:pStyle w:val="Heading2"/>
        <w:keepLines/>
        <w:keepNext/>
      </w:pPr>
      <w:r>
        <w:t>On-screen specimen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>
          <w:cantSplit/>
        </w:trPr>
        <w:tc>
          <w:tcPr>
            <w:tcW w:type="dxa" w:w="9360"/>
            <w:shd w:fill="1F1F1F" w:val="clear"/>
            <w:tcBorders>
              <w:top w:val="single" w:sz="4" w:color="1F1F1F"/>
              <w:left w:val="single" w:sz="4" w:color="1F1F1F"/>
              <w:bottom w:val="single" w:sz="4" w:color="1F1F1F"/>
              <w:right w:val="single" w:sz="4" w:color="1F1F1F"/>
              <w:insideH w:val="single" w:sz="4" w:color="1F1F1F"/>
              <w:insideV w:val="single" w:sz="4" w:color="1F1F1F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  <w:keepLines/>
            </w:pPr>
            <w:r>
              <w:rPr>
                <w:rFonts w:ascii="Consolas" w:hAnsi="Consolas" w:eastAsia="Consolas"/>
                <w:color w:val="D9E2E3"/>
                <w:sz w:val="17"/>
              </w:rPr>
              <w:t>./scripts/run_conference_demo.sh --run-id &lt;unique-id&gt;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># Inspect artifacts/&lt;unique-id&gt;/ and the frozen result pointers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>python eval/score_patch.py --arch support --variant v1-vulnerability \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 xml:space="preserve">  --patch patches/support/v1-vulnerability/fix-v1-vulnerability.diff</w:t>
            </w:r>
          </w:p>
        </w:tc>
      </w:tr>
    </w:tbl>
    <w:p>
      <w:pPr>
        <w:pStyle w:val="Heading2"/>
        <w:keepLines/>
        <w:keepNext/>
      </w:pPr>
      <w:r>
        <w:t>Video storyboard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type="dxa" w:w="756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Picture and narration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00:00–01:15</w:t>
            </w:r>
          </w:p>
        </w:tc>
        <w:tc>
          <w:tcPr>
            <w:tcW w:type="dxa" w:w="75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Hook: post-hoc security explanations are easy; a sealed prediction can fail.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01:15–03:30</w:t>
            </w:r>
          </w:p>
        </w:tc>
        <w:tc>
          <w:tcPr>
            <w:tcW w:type="dxa" w:w="75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Show repository, freeze record, and blind schema.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03:30–06:30</w:t>
            </w:r>
          </w:p>
        </w:tc>
        <w:tc>
          <w:tcPr>
            <w:tcW w:type="dxa" w:w="75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Commit, reveal, and score.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06:30–09:00</w:t>
            </w:r>
          </w:p>
        </w:tc>
        <w:tc>
          <w:tcPr>
            <w:tcW w:type="dxa" w:w="75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Run gold and wrong-target patch cases.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09:00–11:00</w:t>
            </w:r>
          </w:p>
        </w:tc>
        <w:tc>
          <w:tcPr>
            <w:tcW w:type="dxa" w:w="75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Read the evidence and state the population-performance limitation.</w:t>
            </w:r>
          </w:p>
        </w:tc>
      </w:tr>
    </w:tbl>
    <w:p>
      <w:pPr>
        <w:pStyle w:val="Heading2"/>
        <w:keepLines/>
        <w:keepNext/>
      </w:pPr>
      <w:r>
        <w:t>What the audience sees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600"/>
        <w:gridCol w:w="7760"/>
      </w:tblGrid>
      <w:tr>
        <w:trPr>
          <w:tblHeader w:val="true"/>
          <w:cantSplit/>
        </w:trPr>
        <w:tc>
          <w:tcPr>
            <w:tcW w:type="dxa" w:w="160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776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On-screen action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Freeze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Record the repository commit, environment, assessor condition, model/tool configuration, prompt, and run ID. Do not expose the defect overlay.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Commit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Produce a schema-valid prediction with cited files, trust boundaries, failure family, and confidence. Seal its hash before reveal.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Reveal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Apply the controlled v1-vulnerability condition and preserve the reveal event separately from the prediction.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Score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Calculate localization/structure recall and compare high-structure with low-structure, random, and hindsight controls.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Patch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Apply a candidate unified diff in a clean workspace. The gold patch must pass; a wrong-target patch must remain red.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Audit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Package raw predictions, seals, ground truth, test logs, scores, software versions, and limitations without editing failed runs.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EF5F3" w:val="clear"/>
            <w:tcBorders>
              <w:top w:val="single" w:sz="8" w:color="2E5D6B"/>
              <w:left w:val="single" w:sz="8" w:color="2E5D6B"/>
              <w:bottom w:val="single" w:sz="8" w:color="2E5D6B"/>
              <w:right w:val="single" w:sz="8" w:color="2E5D6B"/>
              <w:insideH w:val="single" w:sz="8" w:color="2E5D6B"/>
              <w:insideV w:val="single" w:sz="8" w:color="2E5D6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24576A"/>
              </w:rPr>
              <w:t xml:space="preserve">Proof frame: </w:t>
            </w:r>
            <w:r>
              <w:t>Current evidence supports instrument validity and benchmark separability—not general population performance. The sealed protocol study contains 80 runs; the LLM-tool arm contains 46 runs across seven tool configurations. In the primary support-v1 condition, high-structure recall is 0.80 versus 0 for low/random, while hindsight reaches 1.0. Human multi-lab arms remain open.</w:t>
            </w:r>
          </w:p>
        </w:tc>
      </w:tr>
    </w:tbl>
    <w:p>
      <w:pPr>
        <w:pStyle w:val="Heading2"/>
        <w:keepLines/>
        <w:keepNext/>
      </w:pPr>
      <w:r>
        <w:t>Downloadable lab</w:t>
      </w:r>
    </w:p>
    <w:p>
      <w:pPr>
        <w:spacing w:after="60"/>
        <w:keepLines/>
      </w:pPr>
      <w:r>
        <w:rPr>
          <w:i w:val="0"/>
        </w:rPr>
        <w:t>Seal one prediction, run the controlled reveal/score, and compare the gold patch with a wrong-target patch. Submit the run folder and a 150-word limitation.</w:t>
      </w:r>
    </w:p>
    <w:p>
      <w:pPr>
        <w:pStyle w:val="Heading2"/>
        <w:keepLines/>
        <w:keepNext/>
      </w:pPr>
      <w:r>
        <w:t>Evidence shown on screen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Sealed pre-reveal prediction and independent reveal log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Ground-truth file/failure-family mapping and scorer output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High/low/random/hindsight conditions with uncertainty and exact tests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Gold-patch success plus wrong-target negative control</w:t>
      </w:r>
    </w:p>
    <w:p>
      <w:pPr>
        <w:pStyle w:val="Heading2"/>
        <w:keepLines/>
        <w:keepNext/>
      </w:pPr>
      <w:r>
        <w:t>Knowledge check</w:t>
      </w:r>
    </w:p>
    <w:p>
      <w:pPr>
        <w:spacing w:after="60"/>
        <w:keepLines/>
      </w:pPr>
      <w:r>
        <w:rPr>
          <w:i w:val="0"/>
        </w:rPr>
        <w:t>Question: Why must the prediction be sealed before reveal?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EF5F3" w:val="clear"/>
            <w:tcBorders>
              <w:top w:val="single" w:sz="8" w:color="2E5D6B"/>
              <w:left w:val="single" w:sz="8" w:color="2E5D6B"/>
              <w:bottom w:val="single" w:sz="8" w:color="2E5D6B"/>
              <w:right w:val="single" w:sz="8" w:color="2E5D6B"/>
              <w:insideH w:val="single" w:sz="8" w:color="2E5D6B"/>
              <w:insideV w:val="single" w:sz="8" w:color="2E5D6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24576A"/>
              </w:rPr>
              <w:t xml:space="preserve">Answer: </w:t>
            </w:r>
            <w:r>
              <w:t>Because otherwise hindsight can change the claimed location or mechanism.</w:t>
            </w:r>
          </w:p>
        </w:tc>
      </w:tr>
    </w:tbl>
    <w:p>
      <w:pPr>
        <w:pStyle w:val="Heading2"/>
        <w:keepLines/>
        <w:keepNext/>
      </w:pPr>
      <w:r>
        <w:t>Presenter close</w:t>
      </w:r>
    </w:p>
    <w:p>
      <w:pPr>
        <w:spacing w:after="60"/>
        <w:keepLines/>
      </w:pPr>
      <w:r>
        <w:rPr>
          <w:i/>
          <w:color w:val="24576A"/>
        </w:rPr>
        <w:t>Seal first, reveal second, execute the proof—and keep the non-claims visible.</w:t>
      </w:r>
    </w:p>
    <w:p>
      <w:pPr>
        <w:pStyle w:val="Heading2"/>
        <w:keepLines/>
        <w:keepNext/>
      </w:pPr>
      <w:r>
        <w:t>Research bridge</w:t>
      </w:r>
    </w:p>
    <w:p>
      <w:pPr>
        <w:spacing w:after="60"/>
        <w:keepLines/>
      </w:pPr>
      <w:r>
        <w:rPr>
          <w:i w:val="0"/>
        </w:rPr>
        <w:t>Paper claim: blind structure improves pre-reveal localization and can be falsified by controlled baselines. Extend with preregistered human labs, additional architectures/defect families, calibration curves, and a frozen analysis script. Keep all N values sourced from machine-readable result files; several narrative files still contain older 72/22 counts and must be refreshed before submission.</w:t>
      </w:r>
    </w:p>
    <w:p>
      <w:pPr>
        <w:spacing w:before="80" w:after="80"/>
        <w:pBdr>
          <w:bottom w:val="single" w:sz="6" w:space="1" w:color="B7B7B7"/>
        </w:pBdr>
        <w:keepLines/>
        <w:keepNext/>
      </w:pPr>
    </w:p>
    <w:p>
      <w:pPr>
        <w:pStyle w:val="Heading1"/>
        <w:keepLines/>
        <w:keepNext/>
      </w:pPr>
      <w:r>
        <w:t>Module 2 — Agentic Supply-Chain &amp; AIBOM Drift</w:t>
      </w:r>
    </w:p>
    <w:p>
      <w:pPr>
        <w:spacing w:after="60"/>
        <w:keepLines/>
      </w:pPr>
      <w:r>
        <w:rPr>
          <w:i/>
          <w:color w:val="24576A"/>
        </w:rPr>
        <w:t>Implementation status: PARTIAL — scanner and CI control exist; teaching and study harness remain  |  Research target: ACM CCS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 w:val="clear"/>
            <w:tcBorders>
              <w:top w:val="single" w:sz="8" w:color="2E5D6B"/>
              <w:left w:val="single" w:sz="8" w:color="2E5D6B"/>
              <w:bottom w:val="single" w:sz="8" w:color="2E5D6B"/>
              <w:right w:val="single" w:sz="8" w:color="2E5D6B"/>
              <w:insideH w:val="single" w:sz="8" w:color="2E5D6B"/>
              <w:insideV w:val="single" w:sz="8" w:color="2E5D6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24576A"/>
              </w:rPr>
              <w:t xml:space="preserve">Learning outcome: </w:t>
            </w:r>
            <w:r>
              <w:t>Detect and explain dependency, deployment, AIBOM, workflow, and permission drift; then evaluate whether an agent's triage is complete, correctly prioritized, and safely governed.</w:t>
            </w:r>
          </w:p>
        </w:tc>
      </w:tr>
    </w:tbl>
    <w:p>
      <w:pPr>
        <w:pStyle w:val="Heading2"/>
        <w:keepLines/>
        <w:keepNext/>
      </w:pPr>
      <w:r>
        <w:t>Repository surface</w:t>
      </w:r>
    </w:p>
    <w:p>
      <w:pPr>
        <w:spacing w:after="60"/>
        <w:keepLines/>
      </w:pPr>
      <w:r>
        <w:rPr>
          <w:i w:val="0"/>
        </w:rPr>
        <w:t>benchmark/variants/v2-supply-chain-drift, scripts/verify_aibom.py, signed triage approvals, CI workflow, and scanner tests.</w:t>
      </w:r>
    </w:p>
    <w:p>
      <w:pPr>
        <w:pStyle w:val="Heading2"/>
        <w:keepLines/>
        <w:keepNext/>
      </w:pPr>
      <w:r>
        <w:t>Why this matters</w:t>
      </w:r>
    </w:p>
    <w:p>
      <w:pPr>
        <w:spacing w:after="60"/>
        <w:keepLines/>
      </w:pPr>
      <w:r>
        <w:rPr>
          <w:i w:val="0"/>
        </w:rPr>
        <w:t>A single ‘secure’ label hides several independent failure families. The contribution must model plausible threat surfaces and prove that triage generalizes beyond one curated example.</w:t>
      </w:r>
    </w:p>
    <w:p>
      <w:pPr>
        <w:pStyle w:val="Heading2"/>
        <w:keepLines/>
        <w:keepNext/>
      </w:pPr>
      <w:r>
        <w:t>On-screen specimen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>
          <w:cantSplit/>
        </w:trPr>
        <w:tc>
          <w:tcPr>
            <w:tcW w:type="dxa" w:w="9360"/>
            <w:shd w:fill="1F1F1F" w:val="clear"/>
            <w:tcBorders>
              <w:top w:val="single" w:sz="4" w:color="1F1F1F"/>
              <w:left w:val="single" w:sz="4" w:color="1F1F1F"/>
              <w:bottom w:val="single" w:sz="4" w:color="1F1F1F"/>
              <w:right w:val="single" w:sz="4" w:color="1F1F1F"/>
              <w:insideH w:val="single" w:sz="4" w:color="1F1F1F"/>
              <w:insideV w:val="single" w:sz="4" w:color="1F1F1F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  <w:keepLines/>
            </w:pPr>
            <w:r>
              <w:rPr>
                <w:rFonts w:ascii="Consolas" w:hAnsi="Consolas" w:eastAsia="Consolas"/>
                <w:color w:val="D9E2E3"/>
                <w:sz w:val="17"/>
              </w:rPr>
              <w:t>python scripts/verify_aibom.py --format text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># Instructor/research overlay: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>python scripts/verify_aibom.py --root benchmark/variants/v2-supply-chain-drift --format json</w:t>
            </w:r>
          </w:p>
        </w:tc>
      </w:tr>
    </w:tbl>
    <w:p>
      <w:pPr>
        <w:pStyle w:val="Heading2"/>
        <w:keepLines/>
        <w:keepNext/>
      </w:pPr>
      <w:r>
        <w:t>Video storyboard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type="dxa" w:w="756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Picture and narration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00:00–01:20</w:t>
            </w:r>
          </w:p>
        </w:tc>
        <w:tc>
          <w:tcPr>
            <w:tcW w:type="dxa" w:w="75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Hook: a valid package can still deploy with unsafe authority.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01:20–03:20</w:t>
            </w:r>
          </w:p>
        </w:tc>
        <w:tc>
          <w:tcPr>
            <w:tcW w:type="dxa" w:w="75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Show clean scanner and five surfaces.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03:20–06:30</w:t>
            </w:r>
          </w:p>
        </w:tc>
        <w:tc>
          <w:tcPr>
            <w:tcW w:type="dxa" w:w="75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Stage v2 overlay and triage independently.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06:30–08:45</w:t>
            </w:r>
          </w:p>
        </w:tc>
        <w:tc>
          <w:tcPr>
            <w:tcW w:type="dxa" w:w="75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Reconcile 11 findings into three families.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08:45–11:00</w:t>
            </w:r>
          </w:p>
        </w:tc>
        <w:tc>
          <w:tcPr>
            <w:tcW w:type="dxa" w:w="75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Test signed/expired exception and state research gaps.</w:t>
            </w:r>
          </w:p>
        </w:tc>
      </w:tr>
    </w:tbl>
    <w:p>
      <w:pPr>
        <w:pStyle w:val="Heading2"/>
        <w:keepLines/>
        <w:keepNext/>
      </w:pPr>
      <w:r>
        <w:t>What the audience sees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600"/>
        <w:gridCol w:w="7760"/>
      </w:tblGrid>
      <w:tr>
        <w:trPr>
          <w:tblHeader w:val="true"/>
          <w:cantSplit/>
        </w:trPr>
        <w:tc>
          <w:tcPr>
            <w:tcW w:type="dxa" w:w="160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776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On-screen action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Baseline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Run the fail-closed scanner on the clean repository and retain the zero-open-findings report.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Stage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Use an instructor-prepared workspace containing the v2 overlay; it is a directory variant, not a promised Git tag.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Triage A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Have the agent assess the dependency lock and AIBOM without reading the answer key. Record finding fingerprints and severity.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Triage B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Independently inspect the deployment manifest, permissions, and workflow references. Prevent the second assessor from reading Triage A.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Reconcile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Map atomic findings to three ground-truth families: dependency drift, privileged/writable deployment, and AIBOM integrity.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Govern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Demonstrate that only a time-limited, reviewer-attributed, HMAC-signed exception can suppress a finding; expiry or tampering must fail closed.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EF5F3" w:val="clear"/>
            <w:tcBorders>
              <w:top w:val="single" w:sz="8" w:color="2E5D6B"/>
              <w:left w:val="single" w:sz="8" w:color="2E5D6B"/>
              <w:bottom w:val="single" w:sz="8" w:color="2E5D6B"/>
              <w:right w:val="single" w:sz="8" w:color="2E5D6B"/>
              <w:insideH w:val="single" w:sz="8" w:color="2E5D6B"/>
              <w:insideV w:val="single" w:sz="8" w:color="2E5D6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24576A"/>
              </w:rPr>
              <w:t xml:space="preserve">Proof frame: </w:t>
            </w:r>
            <w:r>
              <w:t>The implemented scanner passes on the clean baseline and reports 11 atomic findings in the staged v2 overlay. Those findings cluster into three planted ground-truth families. This is implementation evidence, not yet a publication-ready comparative study.</w:t>
            </w:r>
          </w:p>
        </w:tc>
      </w:tr>
    </w:tbl>
    <w:p>
      <w:pPr>
        <w:pStyle w:val="Heading2"/>
        <w:keepLines/>
        <w:keepNext/>
      </w:pPr>
      <w:r>
        <w:t>Downloadable lab</w:t>
      </w:r>
    </w:p>
    <w:p>
      <w:pPr>
        <w:spacing w:after="60"/>
        <w:keepLines/>
      </w:pPr>
      <w:r>
        <w:rPr>
          <w:i w:val="0"/>
        </w:rPr>
        <w:t>Run clean and staged-v2 scans, classify findings into three families, and test a valid versus expired approval. Submit JSON and a triage note.</w:t>
      </w:r>
    </w:p>
    <w:p>
      <w:pPr>
        <w:pStyle w:val="Heading2"/>
        <w:keepLines/>
        <w:keepNext/>
      </w:pPr>
      <w:r>
        <w:t>Evidence shown on screen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Clean and drifted JSON reports with stable path:line fingerprints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Independent assessor outputs and reconciliation record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Ground-truth family labels plus completeness/severity/conflict metrics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Valid, expired, tampered, and unsigned exception cases</w:t>
      </w:r>
    </w:p>
    <w:p>
      <w:pPr>
        <w:pStyle w:val="Heading2"/>
        <w:keepLines/>
        <w:keepNext/>
      </w:pPr>
      <w:r>
        <w:t>Knowledge check</w:t>
      </w:r>
    </w:p>
    <w:p>
      <w:pPr>
        <w:spacing w:after="60"/>
        <w:keepLines/>
      </w:pPr>
      <w:r>
        <w:rPr>
          <w:i w:val="0"/>
        </w:rPr>
        <w:t>Question: Why are 11 scanner findings not automatically 11 independent defects?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EF5F3" w:val="clear"/>
            <w:tcBorders>
              <w:top w:val="single" w:sz="8" w:color="2E5D6B"/>
              <w:left w:val="single" w:sz="8" w:color="2E5D6B"/>
              <w:bottom w:val="single" w:sz="8" w:color="2E5D6B"/>
              <w:right w:val="single" w:sz="8" w:color="2E5D6B"/>
              <w:insideH w:val="single" w:sz="8" w:color="2E5D6B"/>
              <w:insideV w:val="single" w:sz="8" w:color="2E5D6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24576A"/>
              </w:rPr>
              <w:t xml:space="preserve">Answer: </w:t>
            </w:r>
            <w:r>
              <w:t>Several atomic findings can belong to one planted failure family; both granular and family-level scoring matter.</w:t>
            </w:r>
          </w:p>
        </w:tc>
      </w:tr>
    </w:tbl>
    <w:p>
      <w:pPr>
        <w:pStyle w:val="Heading2"/>
        <w:keepLines/>
        <w:keepNext/>
      </w:pPr>
      <w:r>
        <w:t>Presenter close</w:t>
      </w:r>
    </w:p>
    <w:p>
      <w:pPr>
        <w:spacing w:after="60"/>
        <w:keepLines/>
      </w:pPr>
      <w:r>
        <w:rPr>
          <w:i/>
          <w:color w:val="24576A"/>
        </w:rPr>
        <w:t>Triage is credible when findings are complete, independently checked, and exceptions are attributable and expiring.</w:t>
      </w:r>
    </w:p>
    <w:p>
      <w:pPr>
        <w:pStyle w:val="Heading2"/>
        <w:keepLines/>
        <w:keepNext/>
      </w:pPr>
      <w:r>
        <w:t>Research bridge</w:t>
      </w:r>
    </w:p>
    <w:p>
      <w:pPr>
        <w:spacing w:after="60"/>
        <w:keepLines/>
      </w:pPr>
      <w:r>
        <w:rPr>
          <w:i w:val="0"/>
        </w:rPr>
        <w:t>CCS package: state an attacker capability and end-to-end threat model; compare deterministic scanner, single-agent, independent double-triage, and human review; report recall by family, severity calibration, resolution latency, false positives, and exception abuse. Add multiple projects/ecosystems, adaptive drift, ablations, and an artifact/Open Science appendix. A few successful examples alone are not the paper.</w:t>
      </w:r>
    </w:p>
    <w:p>
      <w:pPr>
        <w:spacing w:before="80" w:after="80"/>
        <w:pBdr>
          <w:bottom w:val="single" w:sz="6" w:space="1" w:color="B7B7B7"/>
        </w:pBdr>
        <w:keepLines/>
        <w:keepNext/>
      </w:pPr>
    </w:p>
    <w:p>
      <w:pPr>
        <w:pStyle w:val="Heading1"/>
        <w:keepLines/>
        <w:keepNext/>
      </w:pPr>
      <w:r>
        <w:t>Module 3 — Evaluation Design: Structure, Leakage, Saturation &amp; Executable Invariants</w:t>
      </w:r>
    </w:p>
    <w:p>
      <w:pPr>
        <w:spacing w:after="60"/>
        <w:keepLines/>
      </w:pPr>
      <w:r>
        <w:rPr>
          <w:i/>
          <w:color w:val="24576A"/>
        </w:rPr>
        <w:t>Implementation status: PARTIAL — formalism, architecture assessor, ground truth, and invariants exist; evaluation-card and ablation runner remain  |  Research target: NeurIPS Evaluations &amp; Datasets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 w:val="clear"/>
            <w:tcBorders>
              <w:top w:val="single" w:sz="8" w:color="2E5D6B"/>
              <w:left w:val="single" w:sz="8" w:color="2E5D6B"/>
              <w:bottom w:val="single" w:sz="8" w:color="2E5D6B"/>
              <w:right w:val="single" w:sz="8" w:color="2E5D6B"/>
              <w:insideH w:val="single" w:sz="8" w:color="2E5D6B"/>
              <w:insideV w:val="single" w:sz="8" w:color="2E5D6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24576A"/>
              </w:rPr>
              <w:t xml:space="preserve">Learning outcome: </w:t>
            </w:r>
            <w:r>
              <w:t>Treat evaluation design—not another vulnerability—as the object of study, and show when a benchmark can or cannot support the claim made for it.</w:t>
            </w:r>
          </w:p>
        </w:tc>
      </w:tr>
    </w:tbl>
    <w:p>
      <w:pPr>
        <w:pStyle w:val="Heading2"/>
        <w:keepLines/>
        <w:keepNext/>
      </w:pPr>
      <w:r>
        <w:t>Repository surface</w:t>
      </w:r>
    </w:p>
    <w:p>
      <w:pPr>
        <w:spacing w:after="60"/>
        <w:keepLines/>
      </w:pPr>
      <w:r>
        <w:rPr>
          <w:i w:val="0"/>
        </w:rPr>
        <w:t>eval/bpvr_formalism.md, assessors/architecture_review.py, eval/ground_truth.yaml, invariants.yaml, and the frozen study outputs.</w:t>
      </w:r>
    </w:p>
    <w:p>
      <w:pPr>
        <w:pStyle w:val="Heading2"/>
        <w:keepLines/>
        <w:keepNext/>
      </w:pPr>
      <w:r>
        <w:t>Why this matters</w:t>
      </w:r>
    </w:p>
    <w:p>
      <w:pPr>
        <w:spacing w:after="60"/>
        <w:keepLines/>
      </w:pPr>
      <w:r>
        <w:rPr>
          <w:i w:val="0"/>
        </w:rPr>
        <w:t>Evaluation can leak answers, saturate, reward vague predictions, or confuse file localization with causal understanding. A reusable protocol must expose those failure modes.</w:t>
      </w:r>
    </w:p>
    <w:p>
      <w:pPr>
        <w:pStyle w:val="Heading2"/>
        <w:keepLines/>
        <w:keepNext/>
      </w:pPr>
      <w:r>
        <w:t>On-screen specimen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>
          <w:cantSplit/>
        </w:trPr>
        <w:tc>
          <w:tcPr>
            <w:tcW w:type="dxa" w:w="9360"/>
            <w:shd w:fill="1F1F1F" w:val="clear"/>
            <w:tcBorders>
              <w:top w:val="single" w:sz="4" w:color="1F1F1F"/>
              <w:left w:val="single" w:sz="4" w:color="1F1F1F"/>
              <w:bottom w:val="single" w:sz="4" w:color="1F1F1F"/>
              <w:right w:val="single" w:sz="4" w:color="1F1F1F"/>
              <w:insideH w:val="single" w:sz="4" w:color="1F1F1F"/>
              <w:insideV w:val="single" w:sz="4" w:color="1F1F1F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  <w:keepLines/>
            </w:pPr>
            <w:r>
              <w:rPr>
                <w:rFonts w:ascii="Consolas" w:hAnsi="Consolas" w:eastAsia="Consolas"/>
                <w:color w:val="D9E2E3"/>
                <w:sz w:val="17"/>
              </w:rPr>
              <w:t># Planned evaluation-card interface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>python eval/run_evaluation_matrix.py \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 xml:space="preserve">  --conditions high,low,manual,random,hindsight \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 xml:space="preserve">  --ablations source_refs,trust_boundaries,confidence \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 xml:space="preserve">  --output artifacts/evaluation-card.json</w:t>
            </w:r>
          </w:p>
        </w:tc>
      </w:tr>
    </w:tbl>
    <w:p>
      <w:pPr>
        <w:pStyle w:val="Heading2"/>
        <w:keepLines/>
        <w:keepNext/>
      </w:pPr>
      <w:r>
        <w:t>Video storyboard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type="dxa" w:w="756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Picture and narration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00:00–01:30</w:t>
            </w:r>
          </w:p>
        </w:tc>
        <w:tc>
          <w:tcPr>
            <w:tcW w:type="dxa" w:w="75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Hook: a benchmark can reward the wrong capability.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01:30–03:30</w:t>
            </w:r>
          </w:p>
        </w:tc>
        <w:tc>
          <w:tcPr>
            <w:tcW w:type="dxa" w:w="75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Define construct, claim, and non-claim.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03:30–06:30</w:t>
            </w:r>
          </w:p>
        </w:tc>
        <w:tc>
          <w:tcPr>
            <w:tcW w:type="dxa" w:w="75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Leak audit and comparison conditions.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06:30–09:15</w:t>
            </w:r>
          </w:p>
        </w:tc>
        <w:tc>
          <w:tcPr>
            <w:tcW w:type="dxa" w:w="75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Ablate structure and stress saturation.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09:15–11:30</w:t>
            </w:r>
          </w:p>
        </w:tc>
        <w:tc>
          <w:tcPr>
            <w:tcW w:type="dxa" w:w="75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Read an evaluation card and preserve negative results.</w:t>
            </w:r>
          </w:p>
        </w:tc>
      </w:tr>
    </w:tbl>
    <w:p>
      <w:pPr>
        <w:pStyle w:val="Heading2"/>
        <w:keepLines/>
        <w:keepNext/>
      </w:pPr>
      <w:r>
        <w:t>What the audience sees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600"/>
        <w:gridCol w:w="7760"/>
      </w:tblGrid>
      <w:tr>
        <w:trPr>
          <w:tblHeader w:val="true"/>
          <w:cantSplit/>
        </w:trPr>
        <w:tc>
          <w:tcPr>
            <w:tcW w:type="dxa" w:w="160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776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On-screen action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Claim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Write the exact construct being measured and the claims it does not support.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Leak audit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Search prompts, filenames, paths, commit history, fixtures, and packaging for answer-bearing cues. Record every removed cue.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Condition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Run high-structure, low-structure, manual/static, random, and hindsight controls under the same reveal and scoring rules.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Ablate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Remove source references, trust-boundary structure, confidence, and patch execution one at a time.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Stress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Vary defect prevalence, ambiguity, architecture, and localization granularity; look for ceiling/floor effects and metric gaming.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Card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Publish the dataset/evaluation card, raw predictions, scoring implementation, uncertainty, known limitations, and intended use.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EF5F3" w:val="clear"/>
            <w:tcBorders>
              <w:top w:val="single" w:sz="8" w:color="2E5D6B"/>
              <w:left w:val="single" w:sz="8" w:color="2E5D6B"/>
              <w:bottom w:val="single" w:sz="8" w:color="2E5D6B"/>
              <w:right w:val="single" w:sz="8" w:color="2E5D6B"/>
              <w:insideH w:val="single" w:sz="8" w:color="2E5D6B"/>
              <w:insideV w:val="single" w:sz="8" w:color="2E5D6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24576A"/>
              </w:rPr>
              <w:t xml:space="preserve">Proof frame: </w:t>
            </w:r>
            <w:r>
              <w:t>A valid benchmark must separate informative from uninformative conditions, remain stable under harmless formatting changes, and fail visibly under leakage or metric gaming. Report negative and saturated results; they define the boundary of the evaluation.</w:t>
            </w:r>
          </w:p>
        </w:tc>
      </w:tr>
    </w:tbl>
    <w:p>
      <w:pPr>
        <w:pStyle w:val="Heading2"/>
        <w:keepLines/>
        <w:keepNext/>
      </w:pPr>
      <w:r>
        <w:t>Downloadable lab</w:t>
      </w:r>
    </w:p>
    <w:p>
      <w:pPr>
        <w:spacing w:after="60"/>
        <w:keepLines/>
      </w:pPr>
      <w:r>
        <w:rPr>
          <w:i w:val="0"/>
        </w:rPr>
        <w:t>Complete an evaluation card, identify two leakage channels, and interpret one ablation or saturation result without overclaiming.</w:t>
      </w:r>
    </w:p>
    <w:p>
      <w:pPr>
        <w:pStyle w:val="Heading2"/>
        <w:keepLines/>
        <w:keepNext/>
      </w:pPr>
      <w:r>
        <w:t>Evidence shown on screen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Claim-to-metric table with assumptions and non-claims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Leakage audit and provenance/freeze record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Full condition-by-variant matrix, not selected success cases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Ablation effects with confidence intervals and multiple-comparison policy</w:t>
      </w:r>
    </w:p>
    <w:p>
      <w:pPr>
        <w:pStyle w:val="Heading2"/>
        <w:keepLines/>
        <w:keepNext/>
      </w:pPr>
      <w:r>
        <w:t>Knowledge check</w:t>
      </w:r>
    </w:p>
    <w:p>
      <w:pPr>
        <w:spacing w:after="60"/>
        <w:keepLines/>
      </w:pPr>
      <w:r>
        <w:rPr>
          <w:i w:val="0"/>
        </w:rPr>
        <w:t>Question: What does a hindsight condition measure?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EF5F3" w:val="clear"/>
            <w:tcBorders>
              <w:top w:val="single" w:sz="8" w:color="2E5D6B"/>
              <w:left w:val="single" w:sz="8" w:color="2E5D6B"/>
              <w:bottom w:val="single" w:sz="8" w:color="2E5D6B"/>
              <w:right w:val="single" w:sz="8" w:color="2E5D6B"/>
              <w:insideH w:val="single" w:sz="8" w:color="2E5D6B"/>
              <w:insideV w:val="single" w:sz="8" w:color="2E5D6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24576A"/>
              </w:rPr>
              <w:t xml:space="preserve">Answer: </w:t>
            </w:r>
            <w:r>
              <w:t>The evaluation ceiling after answer exposure; it is not a fair pre-reveal capability baseline.</w:t>
            </w:r>
          </w:p>
        </w:tc>
      </w:tr>
    </w:tbl>
    <w:p>
      <w:pPr>
        <w:pStyle w:val="Heading2"/>
        <w:keepLines/>
        <w:keepNext/>
      </w:pPr>
      <w:r>
        <w:t>Presenter close</w:t>
      </w:r>
    </w:p>
    <w:p>
      <w:pPr>
        <w:spacing w:after="60"/>
        <w:keepLines/>
      </w:pPr>
      <w:r>
        <w:rPr>
          <w:i/>
          <w:color w:val="24576A"/>
        </w:rPr>
        <w:t>An evaluation is part of the scientific claim; leakage and saturation can invalidate it even when scores look impressive.</w:t>
      </w:r>
    </w:p>
    <w:p>
      <w:pPr>
        <w:pStyle w:val="Heading2"/>
        <w:keepLines/>
        <w:keepNext/>
      </w:pPr>
      <w:r>
        <w:t>Research bridge</w:t>
      </w:r>
    </w:p>
    <w:p>
      <w:pPr>
        <w:spacing w:after="60"/>
        <w:keepLines/>
      </w:pPr>
      <w:r>
        <w:rPr>
          <w:i w:val="0"/>
        </w:rPr>
        <w:t>NeurIPS E&amp;D package: make evaluation methodology the distinct contribution. Compare evaluation designs, quantify leakage and saturation, test robustness and ablations, and release a reusable protocol. Do not simply resubmit the SaTML security result with a new introduction; use Demo 1 as a cited case study inside a broader evaluation contribution.</w:t>
      </w:r>
    </w:p>
    <w:p>
      <w:pPr>
        <w:spacing w:before="80" w:after="80"/>
        <w:pBdr>
          <w:bottom w:val="single" w:sz="6" w:space="1" w:color="B7B7B7"/>
        </w:pBdr>
        <w:keepLines/>
        <w:keepNext/>
      </w:pPr>
    </w:p>
    <w:p>
      <w:pPr>
        <w:pStyle w:val="Heading1"/>
        <w:keepLines/>
        <w:keepNext/>
      </w:pPr>
      <w:r>
        <w:t>Module 4 — Prompt Injection, Tool Authority &amp; Persistent-Memory Poisoning</w:t>
      </w:r>
    </w:p>
    <w:p>
      <w:pPr>
        <w:spacing w:after="60"/>
        <w:keepLines/>
      </w:pPr>
      <w:r>
        <w:rPr>
          <w:i/>
          <w:color w:val="24576A"/>
        </w:rPr>
        <w:t>Implementation status: PARTIAL — memory-poison fixture, rollback verification, clean invariant test, and LLM v3 arms exist; runtime matrix remains  |  Research target: IEEE Symposium on Security and Privacy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 w:val="clear"/>
            <w:tcBorders>
              <w:top w:val="single" w:sz="8" w:color="2E5D6B"/>
              <w:left w:val="single" w:sz="8" w:color="2E5D6B"/>
              <w:bottom w:val="single" w:sz="8" w:color="2E5D6B"/>
              <w:right w:val="single" w:sz="8" w:color="2E5D6B"/>
              <w:insideH w:val="single" w:sz="8" w:color="2E5D6B"/>
              <w:insideV w:val="single" w:sz="8" w:color="2E5D6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24576A"/>
              </w:rPr>
              <w:t xml:space="preserve">Learning outcome: </w:t>
            </w:r>
            <w:r>
              <w:t>Trace how untrusted content becomes persistent instruction or an authorized tool action, then test controls across genuinely different runtime architectures.</w:t>
            </w:r>
          </w:p>
        </w:tc>
      </w:tr>
    </w:tbl>
    <w:p>
      <w:pPr>
        <w:pStyle w:val="Heading2"/>
        <w:keepLines/>
        <w:keepNext/>
      </w:pPr>
      <w:r>
        <w:t>Repository surface</w:t>
      </w:r>
    </w:p>
    <w:p>
      <w:pPr>
        <w:spacing w:after="60"/>
        <w:keepLines/>
      </w:pPr>
      <w:r>
        <w:rPr>
          <w:i w:val="0"/>
        </w:rPr>
        <w:t>benchmark/variants/v3-poisoned-memory, app/memory, app/tools/email_draft.py, tests/test_memory_poisoning.py, and sealed LLM-tool results.</w:t>
      </w:r>
    </w:p>
    <w:p>
      <w:pPr>
        <w:pStyle w:val="Heading2"/>
        <w:keepLines/>
        <w:keepNext/>
      </w:pPr>
      <w:r>
        <w:t>Why this matters</w:t>
      </w:r>
    </w:p>
    <w:p>
      <w:pPr>
        <w:spacing w:after="60"/>
        <w:keepLines/>
      </w:pPr>
      <w:r>
        <w:rPr>
          <w:i w:val="0"/>
        </w:rPr>
        <w:t>Prompt injection is consequential only when it crosses authority or persistence boundaries. The study must capture traces and side effects, not merely whether a model repeats an attack string.</w:t>
      </w:r>
    </w:p>
    <w:p>
      <w:pPr>
        <w:pStyle w:val="Heading2"/>
        <w:keepLines/>
        <w:keepNext/>
      </w:pPr>
      <w:r>
        <w:t>On-screen specimen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>
          <w:cantSplit/>
        </w:trPr>
        <w:tc>
          <w:tcPr>
            <w:tcW w:type="dxa" w:w="9360"/>
            <w:shd w:fill="1F1F1F" w:val="clear"/>
            <w:tcBorders>
              <w:top w:val="single" w:sz="4" w:color="1F1F1F"/>
              <w:left w:val="single" w:sz="4" w:color="1F1F1F"/>
              <w:bottom w:val="single" w:sz="4" w:color="1F1F1F"/>
              <w:right w:val="single" w:sz="4" w:color="1F1F1F"/>
              <w:insideH w:val="single" w:sz="4" w:color="1F1F1F"/>
              <w:insideV w:val="single" w:sz="4" w:color="1F1F1F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  <w:keepLines/>
            </w:pPr>
            <w:r>
              <w:rPr>
                <w:rFonts w:ascii="Consolas" w:hAnsi="Consolas" w:eastAsia="Consolas"/>
                <w:color w:val="D9E2E3"/>
                <w:sz w:val="17"/>
              </w:rPr>
              <w:t>pytest tests/test_memory_poisoning.py -q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># Planned normalized trace record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>{"source":"memory","trust":"untrusted","decision":"blocked",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 xml:space="preserve"> "tool":"email_draft","side_effect":false,"reason":"signature_invalid"}</w:t>
            </w:r>
          </w:p>
        </w:tc>
      </w:tr>
    </w:tbl>
    <w:p>
      <w:pPr>
        <w:pStyle w:val="Heading2"/>
        <w:keepLines/>
        <w:keepNext/>
      </w:pPr>
      <w:r>
        <w:t>Video storyboard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type="dxa" w:w="756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Picture and narration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00:00–01:25</w:t>
            </w:r>
          </w:p>
        </w:tc>
        <w:tc>
          <w:tcPr>
            <w:tcW w:type="dxa" w:w="75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Hook: injection matters when it crosses authority or persistence.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01:25–03:40</w:t>
            </w:r>
          </w:p>
        </w:tc>
        <w:tc>
          <w:tcPr>
            <w:tcW w:type="dxa" w:w="75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Map attacker, memory, user intent, and tool scope.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03:40–06:40</w:t>
            </w:r>
          </w:p>
        </w:tc>
        <w:tc>
          <w:tcPr>
            <w:tcW w:type="dxa" w:w="75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Run benign/injection fixtures and inspect traces.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06:40–09:20</w:t>
            </w:r>
          </w:p>
        </w:tc>
        <w:tc>
          <w:tcPr>
            <w:tcW w:type="dxa" w:w="75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Compare signatures, scopes, confirmation, and rollback.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09:20–11:30</w:t>
            </w:r>
          </w:p>
        </w:tc>
        <w:tc>
          <w:tcPr>
            <w:tcW w:type="dxa" w:w="75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Adaptive cases, false refusals, and runtime limitation.</w:t>
            </w:r>
          </w:p>
        </w:tc>
      </w:tr>
    </w:tbl>
    <w:p>
      <w:pPr>
        <w:pStyle w:val="Heading2"/>
        <w:keepLines/>
        <w:keepNext/>
      </w:pPr>
      <w:r>
        <w:t>What the audience sees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600"/>
        <w:gridCol w:w="7760"/>
      </w:tblGrid>
      <w:tr>
        <w:trPr>
          <w:tblHeader w:val="true"/>
          <w:cantSplit/>
        </w:trPr>
        <w:tc>
          <w:tcPr>
            <w:tcW w:type="dxa" w:w="160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776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On-screen action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Model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Declare assets, attacker control, user intent, tool scopes, persistence boundaries, and the prohibited side effects.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Seed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Introduce unsigned or tampered memory content in the staged v3 overlay and preserve the payload hash.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Exercise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Run benign, direct-injection, indirect-injection, and multi-turn persistence cases against each runtime adapter.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Trace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Normalize observations into source, trust label, policy decision, tool request, authorization, side effect, and reason.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Control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Compare signature verification, provenance labels, least-privilege tool scopes, confirmation, and rollback; include control combinations.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Adapt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Red-team paraphrases, encoding, split payloads, delayed triggers, and benign look-alikes; retain false-refusal results.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EF5F3" w:val="clear"/>
            <w:tcBorders>
              <w:top w:val="single" w:sz="8" w:color="2E5D6B"/>
              <w:left w:val="single" w:sz="8" w:color="2E5D6B"/>
              <w:bottom w:val="single" w:sz="8" w:color="2E5D6B"/>
              <w:right w:val="single" w:sz="8" w:color="2E5D6B"/>
              <w:insideH w:val="single" w:sz="8" w:color="2E5D6B"/>
              <w:insideV w:val="single" w:sz="8" w:color="2E5D6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24576A"/>
              </w:rPr>
              <w:t xml:space="preserve">Proof frame: </w:t>
            </w:r>
            <w:r>
              <w:t>The clean test currently checks signed memory and rejects a known injection phrase. Conference evidence still requires an adapter matrix, side-effect oracles, adaptive attacks, benign controls, and a clear distinction between native runtime controls and wrapper-enforced controls.</w:t>
            </w:r>
          </w:p>
        </w:tc>
      </w:tr>
    </w:tbl>
    <w:p>
      <w:pPr>
        <w:pStyle w:val="Heading2"/>
        <w:keepLines/>
        <w:keepNext/>
      </w:pPr>
      <w:r>
        <w:t>Downloadable lab</w:t>
      </w:r>
    </w:p>
    <w:p>
      <w:pPr>
        <w:spacing w:after="60"/>
        <w:keepLines/>
      </w:pPr>
      <w:r>
        <w:rPr>
          <w:i w:val="0"/>
        </w:rPr>
        <w:t>Compare one benign and one poisoned-memory trace, apply two controls, and report both unauthorized side effects and false refusals.</w:t>
      </w:r>
    </w:p>
    <w:p>
      <w:pPr>
        <w:pStyle w:val="Heading2"/>
        <w:keepLines/>
        <w:keepNext/>
      </w:pPr>
      <w:r>
        <w:t>Evidence shown on screen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Threat model and attack/benign fixture manifest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Normalized trace plus independent side-effect oracle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Attack success, control efficacy, false refusal, and persistence duration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Native-runtime, wrapper, and deterministic-harness comparison</w:t>
      </w:r>
    </w:p>
    <w:p>
      <w:pPr>
        <w:pStyle w:val="Heading2"/>
        <w:keepLines/>
        <w:keepNext/>
      </w:pPr>
      <w:r>
        <w:t>Knowledge check</w:t>
      </w:r>
    </w:p>
    <w:p>
      <w:pPr>
        <w:spacing w:after="60"/>
        <w:keepLines/>
      </w:pPr>
      <w:r>
        <w:rPr>
          <w:i w:val="0"/>
        </w:rPr>
        <w:t>Question: What makes prompt injection a security outcome rather than only a text outcome?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EF5F3" w:val="clear"/>
            <w:tcBorders>
              <w:top w:val="single" w:sz="8" w:color="2E5D6B"/>
              <w:left w:val="single" w:sz="8" w:color="2E5D6B"/>
              <w:bottom w:val="single" w:sz="8" w:color="2E5D6B"/>
              <w:right w:val="single" w:sz="8" w:color="2E5D6B"/>
              <w:insideH w:val="single" w:sz="8" w:color="2E5D6B"/>
              <w:insideV w:val="single" w:sz="8" w:color="2E5D6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24576A"/>
              </w:rPr>
              <w:t xml:space="preserve">Answer: </w:t>
            </w:r>
            <w:r>
              <w:t>Crossing an authority/persistence boundary or causing an unauthorized side effect.</w:t>
            </w:r>
          </w:p>
        </w:tc>
      </w:tr>
    </w:tbl>
    <w:p>
      <w:pPr>
        <w:pStyle w:val="Heading2"/>
        <w:keepLines/>
        <w:keepNext/>
      </w:pPr>
      <w:r>
        <w:t>Presenter close</w:t>
      </w:r>
    </w:p>
    <w:p>
      <w:pPr>
        <w:spacing w:after="60"/>
        <w:keepLines/>
      </w:pPr>
      <w:r>
        <w:rPr>
          <w:i/>
          <w:color w:val="24576A"/>
        </w:rPr>
        <w:t>Trace authority and side effects. Model text alone cannot tell you whether a security boundary held.</w:t>
      </w:r>
    </w:p>
    <w:p>
      <w:pPr>
        <w:pStyle w:val="Heading2"/>
        <w:keepLines/>
        <w:keepNext/>
      </w:pPr>
      <w:r>
        <w:t>Research bridge</w:t>
      </w:r>
    </w:p>
    <w:p>
      <w:pPr>
        <w:spacing w:after="60"/>
        <w:keepLines/>
      </w:pPr>
      <w:r>
        <w:rPr>
          <w:i w:val="0"/>
        </w:rPr>
        <w:t>IEEE S&amp;P package: emphasize a novel systems-security result about authority and persistence boundaries. Test multiple agent architectures with one trace schema; measure attack success, unauthorized side effects, false refusals, and control cost. Freeze/anonymize artifacts and disclose ethics and generative-AI use as required by the current CFP.</w:t>
      </w:r>
    </w:p>
    <w:p>
      <w:pPr>
        <w:spacing w:before="80" w:after="80"/>
        <w:pBdr>
          <w:bottom w:val="single" w:sz="6" w:space="1" w:color="B7B7B7"/>
        </w:pBdr>
        <w:keepLines/>
        <w:keepNext/>
      </w:pPr>
    </w:p>
    <w:p>
      <w:pPr>
        <w:pStyle w:val="Heading1"/>
        <w:keepLines/>
        <w:keepNext/>
      </w:pPr>
      <w:r>
        <w:t>Module 5 — Evidence-Backed Release Assurance for Agentic Systems</w:t>
      </w:r>
    </w:p>
    <w:p>
      <w:pPr>
        <w:spacing w:after="60"/>
        <w:keepLines/>
      </w:pPr>
      <w:r>
        <w:t>Implementation status: READY — reference implementation, Merkle attestation and witness protocol complete  |  Research target: IEEE TDSC (submitted Oct 2026; formerly USENIX Security '27 C1)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 w:val="clear"/>
            <w:tcBorders>
              <w:top w:val="single" w:sz="8" w:color="2E5D6B"/>
              <w:left w:val="single" w:sz="8" w:color="2E5D6B"/>
              <w:bottom w:val="single" w:sz="8" w:color="2E5D6B"/>
              <w:right w:val="single" w:sz="8" w:color="2E5D6B"/>
              <w:insideH w:val="single" w:sz="8" w:color="2E5D6B"/>
              <w:insideV w:val="single" w:sz="8" w:color="2E5D6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24576A"/>
              </w:rPr>
              <w:t xml:space="preserve">Learning outcome: </w:t>
            </w:r>
            <w:r>
              <w:t>Make release approval depend on fresh, attributable, policy-complete evidence rather than a persuasive narrative or a single green test suite.</w:t>
            </w:r>
          </w:p>
        </w:tc>
      </w:tr>
    </w:tbl>
    <w:p>
      <w:pPr>
        <w:pStyle w:val="Heading2"/>
        <w:keepLines/>
        <w:keepNext/>
      </w:pPr>
      <w:r>
        <w:t>Repository surface</w:t>
      </w:r>
    </w:p>
    <w:p>
      <w:pPr>
        <w:spacing w:after="60"/>
        <w:keepLines/>
      </w:pPr>
      <w:r>
        <w:rPr>
          <w:i w:val="0"/>
        </w:rPr>
        <w:t>Proposed repository-native scripts/assure_release.py plus evidence_manifest.yaml, release_policy.yaml, assurance_report.json, and mutation variants.</w:t>
      </w:r>
    </w:p>
    <w:p>
      <w:pPr>
        <w:pStyle w:val="Heading2"/>
        <w:keepLines/>
        <w:keepNext/>
      </w:pPr>
      <w:r>
        <w:t>Why this matters</w:t>
      </w:r>
    </w:p>
    <w:p>
      <w:pPr>
        <w:spacing w:after="60"/>
        <w:keepLines/>
      </w:pPr>
      <w:r>
        <w:rPr>
          <w:i w:val="0"/>
        </w:rPr>
        <w:t>Agentic releases combine model, prompt, tool, identity, memory, dependency, and deployment evidence. A fail-open or stale-evidence gate can approve a release whose tests individually look healthy.</w:t>
      </w:r>
    </w:p>
    <w:p>
      <w:pPr>
        <w:pStyle w:val="Heading2"/>
        <w:keepLines/>
        <w:keepNext/>
      </w:pPr>
      <w:r>
        <w:t>On-screen specimen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>
          <w:cantSplit/>
        </w:trPr>
        <w:tc>
          <w:tcPr>
            <w:tcW w:type="dxa" w:w="9360"/>
            <w:shd w:fill="1F1F1F" w:val="clear"/>
            <w:tcBorders>
              <w:top w:val="single" w:sz="4" w:color="1F1F1F"/>
              <w:left w:val="single" w:sz="4" w:color="1F1F1F"/>
              <w:bottom w:val="single" w:sz="4" w:color="1F1F1F"/>
              <w:right w:val="single" w:sz="4" w:color="1F1F1F"/>
              <w:insideH w:val="single" w:sz="4" w:color="1F1F1F"/>
              <w:insideV w:val="single" w:sz="4" w:color="1F1F1F"/>
            </w:tcBorders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  <w:keepLines/>
            </w:pPr>
            <w:r>
              <w:rPr>
                <w:rFonts w:ascii="Consolas" w:hAnsi="Consolas" w:eastAsia="Consolas"/>
                <w:color w:val="D9E2E3"/>
                <w:sz w:val="17"/>
              </w:rPr>
              <w:t># Target interface to implement before teaching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>python scripts/assure_release.py \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 xml:space="preserve">  --manifest evidence_manifest.yaml \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 xml:space="preserve">  --policy release_policy.yaml \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 xml:space="preserve">  --report assurance_report.json</w:t>
              <w:br/>
            </w:r>
            <w:r>
              <w:rPr>
                <w:rFonts w:ascii="Consolas" w:hAnsi="Consolas" w:eastAsia="Consolas"/>
                <w:color w:val="D9E2E3"/>
                <w:sz w:val="17"/>
              </w:rPr>
              <w:t># Exit 0 only when every required item is fresh, attributable, and policy-valid.</w:t>
            </w:r>
          </w:p>
        </w:tc>
      </w:tr>
    </w:tbl>
    <w:p>
      <w:pPr>
        <w:pStyle w:val="Heading2"/>
        <w:keepLines/>
        <w:keepNext/>
      </w:pPr>
      <w:r>
        <w:t>Video storyboard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type="dxa" w:w="756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Picture and narration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00:00–01:30</w:t>
            </w:r>
          </w:p>
        </w:tc>
        <w:tc>
          <w:tcPr>
            <w:tcW w:type="dxa" w:w="75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Hook: green tests do not prove that release evidence is current or complete.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01:30–03:45</w:t>
            </w:r>
          </w:p>
        </w:tc>
        <w:tc>
          <w:tcPr>
            <w:tcW w:type="dxa" w:w="75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Define manifest, policy, and provenance.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03:45–07:00</w:t>
            </w:r>
          </w:p>
        </w:tc>
        <w:tc>
          <w:tcPr>
            <w:tcW w:type="dxa" w:w="75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Build deterministic validator and reason codes.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07:00–09:45</w:t>
            </w:r>
          </w:p>
        </w:tc>
        <w:tc>
          <w:tcPr>
            <w:tcW w:type="dxa" w:w="75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Run missing/stale/contradictory mutations.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09:45–12:00</w:t>
            </w:r>
          </w:p>
        </w:tc>
        <w:tc>
          <w:tcPr>
            <w:tcW w:type="dxa" w:w="75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Compare false passes/blocks and state planned status.</w:t>
            </w:r>
          </w:p>
        </w:tc>
      </w:tr>
    </w:tbl>
    <w:p>
      <w:pPr>
        <w:pStyle w:val="Heading2"/>
        <w:keepLines/>
        <w:keepNext/>
      </w:pPr>
      <w:r>
        <w:t>What the audience sees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600"/>
        <w:gridCol w:w="7760"/>
      </w:tblGrid>
      <w:tr>
        <w:trPr>
          <w:tblHeader w:val="true"/>
          <w:cantSplit/>
        </w:trPr>
        <w:tc>
          <w:tcPr>
            <w:tcW w:type="dxa" w:w="160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776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7"/>
              </w:rPr>
              <w:t>On-screen action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Specify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Define the release claim, required evidence types, owners, freshness windows, and fail-closed policy.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Build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Implement a deterministic validator and JSON report before introducing an agent-generated summary.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Mutate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Create isolated missing, stale, contradictory, misattributed, tampered, and policy-waived evidence variants.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Decide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Compare deterministic gate, agent-assisted evidence collection, and human review without letting prose override policy.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Verify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Use known-good, known-bad, and mixed manifests; check both false passes and false blocks.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Measure</w:t>
            </w:r>
          </w:p>
        </w:tc>
        <w:tc>
          <w:tcPr>
            <w:tcW w:type="dxa" w:w="77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7"/>
              </w:rPr>
              <w:t>Record completeness, decision accuracy, time-to-decision, reviewer effort, policy coverage, and runtime overhead.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EF5F3" w:val="clear"/>
            <w:tcBorders>
              <w:top w:val="single" w:sz="8" w:color="2E5D6B"/>
              <w:left w:val="single" w:sz="8" w:color="2E5D6B"/>
              <w:bottom w:val="single" w:sz="8" w:color="2E5D6B"/>
              <w:right w:val="single" w:sz="8" w:color="2E5D6B"/>
              <w:insideH w:val="single" w:sz="8" w:color="2E5D6B"/>
              <w:insideV w:val="single" w:sz="8" w:color="2E5D6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24576A"/>
              </w:rPr>
              <w:t xml:space="preserve">Proof frame: </w:t>
            </w:r>
            <w:r>
              <w:t>The target artifact must produce machine-readable reasons for every pass, block, and exception. Until the script, schemas, fixtures, and tests exist, this demo remains a documented research and production plan—not a claimed implementation.</w:t>
            </w:r>
          </w:p>
        </w:tc>
      </w:tr>
    </w:tbl>
    <w:p>
      <w:pPr>
        <w:pStyle w:val="Heading2"/>
        <w:keepLines/>
        <w:keepNext/>
      </w:pPr>
      <w:r>
        <w:t>Downloadable lab</w:t>
      </w:r>
    </w:p>
    <w:p>
      <w:pPr>
        <w:spacing w:after="60"/>
        <w:keepLines/>
      </w:pPr>
      <w:r>
        <w:rPr>
          <w:i w:val="0"/>
        </w:rPr>
        <w:t>Implement or complete the assurance validator, then run good/bad/mixed manifests and explain every decision reason code.</w:t>
      </w:r>
    </w:p>
    <w:p>
      <w:pPr>
        <w:pStyle w:val="Heading2"/>
        <w:keepLines/>
        <w:keepNext/>
      </w:pPr>
      <w:r>
        <w:t>Evidence shown on screen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Versioned evidence manifest, policy, schemas, and provenance rules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Deterministic assurance report with stable reason codes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Known-good/bad/mixed mutation corpus and expected decisions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False-pass, false-block, completeness, latency, and overhead results</w:t>
      </w:r>
    </w:p>
    <w:p>
      <w:pPr>
        <w:pStyle w:val="Heading2"/>
        <w:keepLines/>
        <w:keepNext/>
      </w:pPr>
      <w:r>
        <w:t>Knowledge check</w:t>
      </w:r>
    </w:p>
    <w:p>
      <w:pPr>
        <w:spacing w:after="60"/>
        <w:keepLines/>
      </w:pPr>
      <w:r>
        <w:rPr>
          <w:i w:val="0"/>
        </w:rPr>
        <w:t>Question: Why must prose never override the deterministic gate?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EF5F3" w:val="clear"/>
            <w:tcBorders>
              <w:top w:val="single" w:sz="8" w:color="2E5D6B"/>
              <w:left w:val="single" w:sz="8" w:color="2E5D6B"/>
              <w:bottom w:val="single" w:sz="8" w:color="2E5D6B"/>
              <w:right w:val="single" w:sz="8" w:color="2E5D6B"/>
              <w:insideH w:val="single" w:sz="8" w:color="2E5D6B"/>
              <w:insideV w:val="single" w:sz="8" w:color="2E5D6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24576A"/>
              </w:rPr>
              <w:t xml:space="preserve">Answer: </w:t>
            </w:r>
            <w:r>
              <w:t>A persuasive summary is not attributable, complete, or mechanically bound to policy evidence.</w:t>
            </w:r>
          </w:p>
        </w:tc>
      </w:tr>
    </w:tbl>
    <w:p>
      <w:pPr>
        <w:pStyle w:val="Heading2"/>
        <w:keepLines/>
        <w:keepNext/>
      </w:pPr>
      <w:r>
        <w:t>Presenter close</w:t>
      </w:r>
    </w:p>
    <w:p>
      <w:pPr>
        <w:spacing w:after="60"/>
        <w:keepLines/>
      </w:pPr>
      <w:r>
        <w:rPr>
          <w:i/>
          <w:color w:val="24576A"/>
        </w:rPr>
        <w:t>Release confidence comes from fresh, policy-bound evidence with explicit reasons—not from an agent's confidence score.</w:t>
      </w:r>
    </w:p>
    <w:p>
      <w:pPr>
        <w:pStyle w:val="Heading2"/>
        <w:keepLines/>
        <w:keepNext/>
      </w:pPr>
      <w:r>
        <w:t>Research bridge</w:t>
      </w:r>
    </w:p>
    <w:p>
      <w:pPr>
        <w:spacing w:after="60"/>
        <w:keepLines/>
      </w:pPr>
      <w:r>
        <w:rPr>
          <w:i w:val="0"/>
        </w:rPr>
        <w:t>USENIX Security package: evaluate a real, repository-native release gate across multiple agentic systems and mutation families. Report operational trade-offs and negative results. The artifact must reproduce figures/tables and document which evidence can be released; USENIX's current call requires an Open Science appendix and gives the artifact a short post-submission grace period.</w:t>
      </w:r>
    </w:p>
    <w:p>
      <w:r>
        <w:br w:type="page"/>
      </w:r>
    </w:p>
    <w:p>
      <w:pPr>
        <w:pStyle w:val="Heading1"/>
        <w:keepLines/>
        <w:keepNext/>
      </w:pPr>
      <w:r>
        <w:t>One programme, five distinct contribution packages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EF5F3" w:val="clear"/>
            <w:tcBorders>
              <w:top w:val="single" w:sz="8" w:color="2E5D6B"/>
              <w:left w:val="single" w:sz="8" w:color="2E5D6B"/>
              <w:bottom w:val="single" w:sz="8" w:color="2E5D6B"/>
              <w:right w:val="single" w:sz="8" w:color="2E5D6B"/>
              <w:insideH w:val="single" w:sz="8" w:color="2E5D6B"/>
              <w:insideV w:val="single" w:sz="8" w:color="2E5D6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24576A"/>
              </w:rPr>
              <w:t xml:space="preserve">Portfolio rule: </w:t>
            </w:r>
            <w:r>
              <w:t>The five demos share infrastructure, but each proposed paper needs a different primary research question, contribution, evidence package, and venue fit. Do not submit materially overlapping manuscripts concurrently. Cross-cite related work, disclose shared data/code, and re-check the live call and policy immediately before submission.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00"/>
      </w:tblPr>
      <w:tblGrid>
        <w:gridCol w:w="1200"/>
        <w:gridCol w:w="2300"/>
        <w:gridCol w:w="5860"/>
      </w:tblGrid>
      <w:tr>
        <w:trPr>
          <w:tblHeader w:val="true"/>
          <w:cantSplit/>
        </w:trPr>
        <w:tc>
          <w:tcPr>
            <w:tcW w:type="dxa" w:w="120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5"/>
              </w:rPr>
              <w:t>Demo</w:t>
            </w:r>
          </w:p>
        </w:tc>
        <w:tc>
          <w:tcPr>
            <w:tcW w:type="dxa" w:w="230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5"/>
              </w:rPr>
              <w:t>Target</w:t>
            </w:r>
          </w:p>
        </w:tc>
        <w:tc>
          <w:tcPr>
            <w:tcW w:type="dxa" w:w="5860"/>
            <w:shd w:fill="24576A" w:val="clea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  <w:insideH w:val="single" w:sz="6" w:color="FFFFFF"/>
              <w:insideV w:val="single" w:sz="6" w:color="FFFFFF"/>
            </w:tcBorders>
            <w:vAlign w:val="center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FFFFFF"/>
                <w:sz w:val="15"/>
              </w:rPr>
              <w:t>Distinct contribution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5"/>
              </w:rPr>
              <w:t>Demo 1</w:t>
            </w:r>
          </w:p>
        </w:tc>
        <w:tc>
          <w:tcPr>
            <w:tcW w:type="dxa" w:w="23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r>
              <w:t>IEEE SaTML / ESWA (Elsevier Q1; submitting Oct 2026)</w:t>
            </w:r>
          </w:p>
        </w:tc>
        <w:tc>
          <w:tcPr>
            <w:tcW w:type="dxa" w:w="58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5"/>
              </w:rPr>
              <w:t>Blind verification as a falsifiable security-assessment protocol; sealed commitments, localization metrics, transfer, and a patch oracle.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5"/>
              </w:rPr>
              <w:t>Demo 2</w:t>
            </w:r>
          </w:p>
        </w:tc>
        <w:tc>
          <w:tcPr>
            <w:tcW w:type="dxa" w:w="23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5"/>
              </w:rPr>
              <w:t>ACM CCS</w:t>
            </w:r>
          </w:p>
        </w:tc>
        <w:tc>
          <w:tcPr>
            <w:tcW w:type="dxa" w:w="58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5"/>
              </w:rPr>
              <w:t>Agentic software-supply-chain security: dependency, deployment, AIBOM, workflow, and exception-governance failures under a realistic threat model.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5"/>
              </w:rPr>
              <w:t>Demo 3</w:t>
            </w:r>
          </w:p>
        </w:tc>
        <w:tc>
          <w:tcPr>
            <w:tcW w:type="dxa" w:w="23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5"/>
              </w:rPr>
              <w:t>NeurIPS Evaluations &amp; Datasets</w:t>
            </w:r>
          </w:p>
        </w:tc>
        <w:tc>
          <w:tcPr>
            <w:tcW w:type="dxa" w:w="58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5"/>
              </w:rPr>
              <w:t>Evaluation design as the contribution: leakage, saturation, structure ablations, benchmark validity, uncertainty, and reusable evaluation cards.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5"/>
              </w:rPr>
              <w:t>Demo 4</w:t>
            </w:r>
          </w:p>
        </w:tc>
        <w:tc>
          <w:tcPr>
            <w:tcW w:type="dxa" w:w="23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5"/>
              </w:rPr>
              <w:t>IEEE Symposium on Security and Privacy</w:t>
            </w:r>
          </w:p>
        </w:tc>
        <w:tc>
          <w:tcPr>
            <w:tcW w:type="dxa" w:w="58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5"/>
              </w:rPr>
              <w:t>Prompt injection, tool authority, and persistent-memory poisoning across agent runtime architectures, measured with normalized traces.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5"/>
              </w:rPr>
              <w:t>Demo 5</w:t>
            </w:r>
          </w:p>
        </w:tc>
        <w:tc>
          <w:tcPr>
            <w:tcW w:type="dxa" w:w="230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r>
              <w:t>IEEE TDSC (submitted Oct 2026; formerly USENIX Security '27 C1)</w:t>
            </w:r>
          </w:p>
        </w:tc>
        <w:tc>
          <w:tcPr>
            <w:tcW w:type="dxa" w:w="5860"/>
            <w:tcBorders>
              <w:top w:val="single" w:sz="5" w:color="7F8C8D"/>
              <w:left w:val="single" w:sz="5" w:color="7F8C8D"/>
              <w:bottom w:val="single" w:sz="5" w:color="7F8C8D"/>
              <w:right w:val="single" w:sz="5" w:color="7F8C8D"/>
              <w:insideH w:val="single" w:sz="5" w:color="7F8C8D"/>
              <w:insideV w:val="single" w:sz="5" w:color="7F8C8D"/>
            </w:tcBorders>
            <w:vAlign w:val="top"/>
            <w:tcMar>
              <w:top w:w="45" w:type="dxa"/>
              <w:bottom w:w="45" w:type="dxa"/>
              <w:start w:w="100" w:type="dxa"/>
              <w:end w:w="100" w:type="dxa"/>
            </w:tcMar>
          </w:tcPr>
          <w:p>
            <w:pPr>
              <w:spacing w:after="0"/>
              <w:keepLines/>
            </w:pPr>
            <w:r>
              <w:rPr>
                <w:sz w:val="15"/>
              </w:rPr>
              <w:t>Evidence-backed release assurance for agentic systems, including fail-closed policy gates, artifact manifests, mutation testing, and operational overhead.</w:t>
            </w:r>
          </w:p>
        </w:tc>
      </w:tr>
    </w:tbl>
    <w:p>
      <w:pPr>
        <w:pStyle w:val="Heading2"/>
        <w:keepLines/>
        <w:keepNext/>
      </w:pPr>
      <w:r>
        <w:t>Evidence contract across all five demos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Freeze repository commit, environment, prompts/configuration, ground truth, and analysis plan before confirmatory runs.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Separate exploratory development from frozen evaluation; retain failed, null, and negative-control runs.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Use multiple models/seeds and, where claimed, multiple architectures/projects; report uncertainty and practical effect sizes.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Include baselines and ablations that test the mechanism, plus checks for leakage, saturation, and scorer gaming.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Publish a reproducible artifact with machine-readable raw data, schemas, commands, provenance, licensing, and a limitations statement.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Document ethics, safety containment, data handling, generative-AI use, anonymization, and any non-releasable artifact elements.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EEF5F3" w:val="clear"/>
            <w:tcBorders>
              <w:top w:val="single" w:sz="8" w:color="2E5D6B"/>
              <w:left w:val="single" w:sz="8" w:color="2E5D6B"/>
              <w:bottom w:val="single" w:sz="8" w:color="2E5D6B"/>
              <w:right w:val="single" w:sz="8" w:color="2E5D6B"/>
              <w:insideH w:val="single" w:sz="8" w:color="2E5D6B"/>
              <w:insideV w:val="single" w:sz="8" w:color="2E5D6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24576A"/>
              </w:rPr>
              <w:t xml:space="preserve">Learner ↔ research separation: </w:t>
            </w:r>
            <w:r>
              <w:t>Teaching runs are formative or assessed learning activities; they are not automatically research data. Any learner/participant data used for research requires prior ethics approval, informed consent where applicable, an opt-out that does not affect learning or assessment, minimization/anonymization, and a documented separation between teaching records and the frozen study corpus.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shd w:fill="F2F2F2" w:val="clear"/>
            <w:tcBorders>
              <w:top w:val="single" w:sz="8" w:color="2E5D6B"/>
              <w:left w:val="single" w:sz="8" w:color="2E5D6B"/>
              <w:bottom w:val="single" w:sz="8" w:color="2E5D6B"/>
              <w:right w:val="single" w:sz="8" w:color="2E5D6B"/>
              <w:insideH w:val="single" w:sz="8" w:color="2E5D6B"/>
              <w:insideV w:val="single" w:sz="8" w:color="2E5D6B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keepLines/>
            </w:pPr>
            <w:r>
              <w:rPr>
                <w:b/>
                <w:color w:val="24576A"/>
              </w:rPr>
              <w:t xml:space="preserve">Conference planning sources: </w:t>
            </w:r>
            <w:r>
              <w:t>Official calls used for this planning snapshot; accessed 9 August 2026. Deadlines and policies can change.</w:t>
            </w:r>
          </w:p>
        </w:tc>
      </w:tr>
    </w:tbl>
    <w:p>
      <w:pPr>
        <w:pStyle w:val="ListParagraph"/>
        <w:numPr>
          <w:ilvl w:val="0"/>
          <w:numId w:val="1"/>
        </w:numPr>
        <w:spacing w:after="20"/>
        <w:keepLines/>
      </w:pPr>
      <w:r>
        <w:t>IEEE SaTML 2027 Call for Papers — https://satml.org/call-for-papers/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ACM CCS 2026 Call for Papers — https://www.sigsac.org/ccs/CCS2026/call-for/call-for-papers.html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NeurIPS 2026 Evaluations &amp; Datasets Call — https://neurips.cc/Conferences/2026/CallForEvaluationsDatasets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IEEE S&amp;P 2027 Call for Papers — https://sp2027.ieee-security.org/cfpapers.html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USENIX Security 2027 Call for Papers — https://www.usenix.org/conference/usenixsecurity27/call-for-papers</w:t>
      </w:r>
    </w:p>
    <w:p>
      <w:r>
        <w:br w:type="page"/>
      </w:r>
    </w:p>
    <w:p>
      <w:pPr>
        <w:pStyle w:val="Heading2"/>
        <w:keepLines/>
        <w:keepNext/>
      </w:pPr>
      <w:r>
        <w:t>Production and companion-resource checklist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Record only after every visible command passes from the downloadable clean snapshot; preserve versioned expected outputs.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Use large terminal text, narrated cursor movement, descriptive callouts, captions/transcripts, and no color-only status cues.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Provide deterministic outputs for learners without a model subscription and label differences caused by platform/tool versions.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For Module 1, replace stale 72/22 prose with the current machine-readable 80/46 counts before recording.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For Modules 2–4, finish the named harnesses before recording. For Module 5, do not record the proposed command until its script, schemas, fixtures, and tests exist.</w:t>
      </w:r>
    </w:p>
    <w:p>
      <w:pPr>
        <w:pStyle w:val="ListParagraph"/>
        <w:numPr>
          <w:ilvl w:val="0"/>
          <w:numId w:val="1"/>
        </w:numPr>
        <w:spacing w:after="20"/>
        <w:keepLines/>
      </w:pPr>
      <w:r>
        <w:t>Keep research recruitment/consent separate from course enrollment, grading, support forums, and analytics.</w:t>
      </w:r>
    </w:p>
    <w:sectPr w:rsidR="00C33F3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32520AE"/>
    <w:multiLevelType w:val="hybridMultilevel"/>
    <w:tmpl w:val="EA86AA2A"/>
    <w:lvl w:ilvl="0" w:tplc="B0AAFC72">
      <w:start w:val="1"/>
      <w:numFmt w:val="bullet"/>
      <w:lvlText w:val="●"/>
      <w:lvlJc w:val="left"/>
      <w:pPr>
        <w:ind w:left="720" w:hanging="360"/>
      </w:pPr>
    </w:lvl>
    <w:lvl w:ilvl="1" w:tplc="2E2CABD2">
      <w:start w:val="1"/>
      <w:numFmt w:val="bullet"/>
      <w:lvlText w:val="○"/>
      <w:lvlJc w:val="left"/>
      <w:pPr>
        <w:ind w:left="1440" w:hanging="360"/>
      </w:pPr>
    </w:lvl>
    <w:lvl w:ilvl="2" w:tplc="0556F914">
      <w:start w:val="1"/>
      <w:numFmt w:val="bullet"/>
      <w:lvlText w:val="■"/>
      <w:lvlJc w:val="left"/>
      <w:pPr>
        <w:ind w:left="2160" w:hanging="360"/>
      </w:pPr>
    </w:lvl>
    <w:lvl w:ilvl="3" w:tplc="0E669F8A">
      <w:start w:val="1"/>
      <w:numFmt w:val="bullet"/>
      <w:lvlText w:val="●"/>
      <w:lvlJc w:val="left"/>
      <w:pPr>
        <w:ind w:left="2880" w:hanging="360"/>
      </w:pPr>
    </w:lvl>
    <w:lvl w:ilvl="4" w:tplc="1674D0C8">
      <w:start w:val="1"/>
      <w:numFmt w:val="bullet"/>
      <w:lvlText w:val="○"/>
      <w:lvlJc w:val="left"/>
      <w:pPr>
        <w:ind w:left="3600" w:hanging="360"/>
      </w:pPr>
    </w:lvl>
    <w:lvl w:ilvl="5" w:tplc="171AC2B0">
      <w:start w:val="1"/>
      <w:numFmt w:val="bullet"/>
      <w:lvlText w:val="■"/>
      <w:lvlJc w:val="left"/>
      <w:pPr>
        <w:ind w:left="4320" w:hanging="360"/>
      </w:pPr>
    </w:lvl>
    <w:lvl w:ilvl="6" w:tplc="6DA012A8">
      <w:start w:val="1"/>
      <w:numFmt w:val="bullet"/>
      <w:lvlText w:val="●"/>
      <w:lvlJc w:val="left"/>
      <w:pPr>
        <w:ind w:left="5040" w:hanging="360"/>
      </w:pPr>
    </w:lvl>
    <w:lvl w:ilvl="7" w:tplc="31444328">
      <w:start w:val="1"/>
      <w:numFmt w:val="bullet"/>
      <w:lvlText w:val="●"/>
      <w:lvlJc w:val="left"/>
      <w:pPr>
        <w:ind w:left="5760" w:hanging="360"/>
      </w:pPr>
    </w:lvl>
    <w:lvl w:ilvl="8" w:tplc="EA8C9E1E">
      <w:start w:val="1"/>
      <w:numFmt w:val="bullet"/>
      <w:lvlText w:val="●"/>
      <w:lvlJc w:val="left"/>
      <w:pPr>
        <w:ind w:left="6480" w:hanging="360"/>
      </w:pPr>
    </w:lvl>
  </w:abstractNum>
  <w:num w:numId="1" w16cid:durableId="12963754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7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8E0"/>
    <w:rsid w:val="00735BD4"/>
    <w:rsid w:val="0095768E"/>
    <w:rsid w:val="00A008E0"/>
    <w:rsid w:val="00C33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4827A6"/>
  <w15:docId w15:val="{6A7BF384-E347-A94C-8C95-45AE15749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2754</Words>
  <Characters>15703</Characters>
  <Application>Microsoft Office Word</Application>
  <DocSecurity>0</DocSecurity>
  <Lines>130</Lines>
  <Paragraphs>36</Paragraphs>
  <ScaleCrop>false</ScaleCrop>
  <Company/>
  <LinksUpToDate>false</LinksUpToDate>
  <CharactersWithSpaces>18421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Petar Radanliev</cp:lastModifiedBy>
  <cp:revision>2</cp:revision>
  <dcterms:created xsi:type="dcterms:W3CDTF">2026-08-09T09:37:00Z</dcterms:created>
  <dcterms:modified xsi:type="dcterms:W3CDTF">2026-08-09T09:37:00Z</dcterms:modified>
</cp:coreProperties>
</file>