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2024. 7. 1.] [법률 제19933호, 2023.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금융투자소득</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제4조제1항제1호, 제4조제1항제2호의2</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제15조제2호</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29.&gt;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29.&gt;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31.&gt;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제21조제1항 각 호 외의 부분, 제21조제1항제27호</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29.&gt;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제33조제1항제1호</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3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37"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제37조제1항제3호, 제37조제5항, 제37조제6항</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제46조제1항</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4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46"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「법인세법」 제5조제2항에 따라 내국법인으로 보는 신탁재산</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02410"/>
            <wp:effectExtent b="0" l="0" r="0" t="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46132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제57조의2</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제58조제2항</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31.&gt;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15만원</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35만원</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35만원과 2명을 초과하는 1명당 연 30만원을 합한 금액</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29.&gt;</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제64조의3제2항</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제70조제2항</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5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54" name="image54.png"/>
            <a:graphic>
              <a:graphicData uri="http://schemas.openxmlformats.org/drawingml/2006/picture">
                <pic:pic>
                  <pic:nvPicPr>
                    <pic:cNvPr id="0" name="image54.png"/>
                    <pic:cNvPicPr preferRelativeResize="0"/>
                  </pic:nvPicPr>
                  <pic:blipFill>
                    <a:blip r:embed="rId23"/>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제84조제3호, 제84조제4호</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제2장의2 거주자의 금융투자소득에 대한 납세의무</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제1절 정의</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제87조의2(정의)</w:t>
      </w:r>
      <w:r w:rsidDel="00000000" w:rsidR="00000000" w:rsidRPr="00000000">
        <w:rPr>
          <w:rFonts w:ascii="Arial Unicode MS" w:cs="Arial Unicode MS" w:eastAsia="Arial Unicode MS" w:hAnsi="Arial Unicode MS"/>
          <w:smallCaps w:val="0"/>
          <w:color w:val="ff000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채권등의 상환</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제2절 금융투자소득에 대한 비과세</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제87조의3(비과세 금융투자소득)</w:t>
      </w:r>
      <w:r w:rsidDel="00000000" w:rsidR="00000000" w:rsidRPr="00000000">
        <w:rPr>
          <w:rFonts w:ascii="Arial Unicode MS" w:cs="Arial Unicode MS" w:eastAsia="Arial Unicode MS" w:hAnsi="Arial Unicode MS"/>
          <w:smallCaps w:val="0"/>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「공익신탁법」에 따른 공익신탁의 이익</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파산선고에 의한 처분으로 발생하는 소득</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제87조의3</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제3절 금융투자소득과세표준과 세액의 계산</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제87조의4(금융투자소득과세표준의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제87조의18에 따른 금융투자소득 기본공제</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따른 소득금액은 금융투자소득과세표준을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제87조의4</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제87조의5(금융투자소득세액 계산의 순서)</w:t>
      </w:r>
      <w:r w:rsidDel="00000000" w:rsidR="00000000" w:rsidRPr="00000000">
        <w:rPr>
          <w:rFonts w:ascii="Arial Unicode MS" w:cs="Arial Unicode MS" w:eastAsia="Arial Unicode MS" w:hAnsi="Arial Unicode MS"/>
          <w:smallCaps w:val="0"/>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제87조의5</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제87조의6(금융투자소득의 범위)</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주식등의 양도로 발생하는 소득</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채권등의 양도로 발생하는 소득</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6. 파생상품의 거래 또는 행위로 발생하는 소득</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제87조의6</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제87조의7(금융투자소득금액)</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제87조의7</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제87조의8(주식등소득금액)</w:t>
      </w:r>
      <w:r w:rsidDel="00000000" w:rsidR="00000000" w:rsidRPr="00000000">
        <w:rPr>
          <w:rFonts w:ascii="Arial Unicode MS" w:cs="Arial Unicode MS" w:eastAsia="Arial Unicode MS" w:hAnsi="Arial Unicode MS"/>
          <w:smallCaps w:val="0"/>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제87조의8</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제87조의9(채권등소득금액)</w:t>
      </w:r>
      <w:r w:rsidDel="00000000" w:rsidR="00000000" w:rsidRPr="00000000">
        <w:rPr>
          <w:rFonts w:ascii="Arial Unicode MS" w:cs="Arial Unicode MS" w:eastAsia="Arial Unicode MS" w:hAnsi="Arial Unicode MS"/>
          <w:smallCaps w:val="0"/>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제87조의9</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제87조의10(투자계약증권소득금액)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제87조의10</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제87조의11(주식등ㆍ채권등ㆍ투자계약증권양도가액)</w:t>
      </w:r>
      <w:r w:rsidDel="00000000" w:rsidR="00000000" w:rsidRPr="00000000">
        <w:rPr>
          <w:rFonts w:ascii="Arial Unicode MS" w:cs="Arial Unicode MS" w:eastAsia="Arial Unicode MS" w:hAnsi="Arial Unicode MS"/>
          <w:smallCaps w:val="0"/>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제87조의11</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제87조의12(주식등ㆍ채권등ㆍ투자계약증권소득금액 필요경비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대통령령으로 정하는 취득가액</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자본적지출액, 양도비 등 대통령령으로 정하는 것</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제87조의12</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제87조의13(주식등ㆍ채권등ㆍ투자계약증권소득금액 필요경비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상속개시일 현재 해당 자산가액 × (1 - 가업상속공제적용률)</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제87조의13</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제87조의14(집합투자기구소득금액)</w:t>
      </w:r>
      <w:r w:rsidDel="00000000" w:rsidR="00000000" w:rsidRPr="00000000">
        <w:rPr>
          <w:rFonts w:ascii="Arial Unicode MS" w:cs="Arial Unicode MS" w:eastAsia="Arial Unicode MS" w:hAnsi="Arial Unicode MS"/>
          <w:smallCaps w:val="0"/>
          <w:color w:val="ff0000"/>
          <w:sz w:val="20"/>
          <w:szCs w:val="20"/>
          <w:rtl w:val="0"/>
        </w:rPr>
        <w:t xml:space="preserve"> ① 집합투자기구소득금액은 제2항에 따른 집합투자증권 양도소득금액으로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제87조의14</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제87조의15(파생결합증권소득금액)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제87조의15</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제87조의16(파생상품소득금액)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제87조의16</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제87조의17(기준시가의 산정)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제87조의17</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제87조의18(금융투자소득 기본공제)</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 외의 소득금액의 합계액에서 공제할 금액: 250만원</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제87조의18</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제87조의19(금융투자소득세의 세율)</w:t>
      </w:r>
      <w:r w:rsidDel="00000000" w:rsidR="00000000" w:rsidRPr="00000000">
        <w:rPr>
          <w:rFonts w:ascii="Arial Unicode MS" w:cs="Arial Unicode MS" w:eastAsia="Arial Unicode MS" w:hAnsi="Arial Unicode MS"/>
          <w:smallCaps w:val="0"/>
          <w:sz w:val="20"/>
          <w:szCs w:val="20"/>
          <w:rtl w:val="0"/>
        </w:rPr>
        <w:t xml:space="preserve"> 거주자의 금융투자소득과세표준에 적용하는 세율은 다음과 같다.</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56150" cy="1092835"/>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756150" cy="1092835"/>
                    </a:xfrm>
                    <a:prstGeom prst="rect"/>
                    <a:ln/>
                  </pic:spPr>
                </pic:pic>
              </a:graphicData>
            </a:graphic>
          </wp:inline>
        </w:drawing>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제87조의19</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제87조의20(금융투자소득세액의 감면)</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800600" cy="1919605"/>
            <wp:effectExtent b="0" l="0" r="0" t="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80060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제87조의20</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제87조의21(금융투자소득 예정신고)</w:t>
      </w:r>
      <w:r w:rsidDel="00000000" w:rsidR="00000000" w:rsidRPr="00000000">
        <w:rPr>
          <w:rFonts w:ascii="Arial Unicode MS" w:cs="Arial Unicode MS" w:eastAsia="Arial Unicode MS" w:hAnsi="Arial Unicode MS"/>
          <w:smallCaps w:val="0"/>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금융회사등을 통하여 지급받지 아니한 금융투자소득</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신고를 이 장에서 “금융투자소득 예정신고”라 한다.</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제87조의21</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제87조의22(예정신고납부)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“예정신고납부”라 한다.</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제87조의22</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제87조의23(금융투자소득과세표준 확정신고)</w:t>
      </w:r>
      <w:r w:rsidDel="00000000" w:rsidR="00000000" w:rsidRPr="00000000">
        <w:rPr>
          <w:rFonts w:ascii="Arial Unicode MS" w:cs="Arial Unicode MS" w:eastAsia="Arial Unicode MS" w:hAnsi="Arial Unicode MS"/>
          <w:smallCaps w:val="0"/>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신고를 “금융투자소득과세표준 확정신고”라 한다.</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제87조의26제4항에 따라 환급을 받으려는 자</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제87조의23</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제87조의24(확정신고납부)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“확정신고납부”라 한다.</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제87조의24</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제87조의25(금융투자소득과세표준과 세액의 결정ㆍ경정)</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제87조의25</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제87조의26(금융투자소득세액의 징수ㆍ환급)</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제1항에 따라 징수하는 세액</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제82조 및 제87조의27에 따른 수시부과세액</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제127조에 따라 원천징수한 세액</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제87조의26</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제87조의27(준용규정)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제101조를 준용하는 경우 제101조제2항 각 호 외의 부분 중 “10년”은 “1년”으로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제87조의27</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제88조제2호, 제88조제3호, 제88조제4호</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25"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제92조제1항</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제93조제3호</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제94조제1항제3호, 제94조제1항제5호, 제94조제2항</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양도소득금액의 계산에 필요한 사항은 대통령령으로 정한다.</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제95조제5항, 제95조제6항</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토지</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건물</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오피스텔 및 상업용 건물</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주택</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부동산을 취득할 수 있는 권리</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지상권ㆍ전세권 및 등기된 부동산임차권</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15.&gt;</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제102조제1항제2호, 제102조제1항제3호</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제103조제1항제2호, 제103조제1항제3호</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200150"/>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1022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 과세표준의 100분의 10</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 과세표준의 100분의 20</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10</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20</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20</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19.&gt;</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2016. 12. 20., 2019. 12. 31.&gt;</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6"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11.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29.&gt;</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제105조제1항 각 호 외의 부분, 제105조제1항제2호</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46675" cy="1395730"/>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146675" cy="1395730"/>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제107조제2항제3호</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제114조제9항</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제115조</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제115조</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2019. 12. 31.&gt;</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제94조제1항제3호다목의 양도로 발생하는 소득</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제118조(준용규정)</w:t>
      </w:r>
      <w:r w:rsidDel="00000000" w:rsidR="00000000" w:rsidRPr="00000000">
        <w:rPr>
          <w:rFonts w:ascii="Arial Unicode MS" w:cs="Arial Unicode MS" w:eastAsia="Arial Unicode MS" w:hAnsi="Arial Unicode MS"/>
          <w:smallCaps w:val="0"/>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8"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2023. 12. 31.&gt;</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31.&gt;</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제118조의8</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제11절 삭제</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국외전출자의 범위 및 그 밖에 필요한 사항은 대통령령으로 정한다.</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제118조의9</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제118조의9</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제118조의10</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제118조의10</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83566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978400" cy="835660"/>
                    </a:xfrm>
                    <a:prstGeom prst="rect"/>
                    <a:ln/>
                  </pic:spPr>
                </pic:pic>
              </a:graphicData>
            </a:graphic>
          </wp:inline>
        </w:drawing>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제118조의11</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제118조의11</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[제118조의10제1항에 따른 양도가액 - 실제 양도가액] × 제118조의11에 따른 세율</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제118조의12</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제118조의12</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제118조의13</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제118조의13</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제118조의14</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제118조의14</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제118조의15</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제118조의15</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19.&gt;</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제118조의16</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제118조의16</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제118조의17</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제118조의17</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제118조의18</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제118조의18</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제119조제1호, 제119조제12호타목, 제119조제12호파목</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준하는 것으로서 대통령령으로 정하는 요건을 갖춘 국외투자기구</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제126조제1항제3호</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제126조의3(거주자의 출국 시 납세의무)</w:t>
      </w:r>
      <w:r w:rsidDel="00000000" w:rsidR="00000000" w:rsidRPr="00000000">
        <w:rPr>
          <w:rFonts w:ascii="Arial Unicode MS" w:cs="Arial Unicode MS" w:eastAsia="Arial Unicode MS" w:hAnsi="Arial Unicode MS"/>
          <w:smallCaps w:val="0"/>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제126조의3</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제126조의4(국외전출자 국내주식등에 대한 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제126조의4</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제126조의5(국외전출자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46575" cy="986155"/>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4346575" cy="986155"/>
                    </a:xfrm>
                    <a:prstGeom prst="rect"/>
                    <a:ln/>
                  </pic:spPr>
                </pic:pic>
              </a:graphicData>
            </a:graphic>
          </wp:inline>
        </w:drawing>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제126조의5</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제126조의6(조정공제)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009390" cy="106045"/>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4009390" cy="106045"/>
                    </a:xfrm>
                    <a:prstGeom prst="rect"/>
                    <a:ln/>
                  </pic:spPr>
                </pic:pic>
              </a:graphicData>
            </a:graphic>
          </wp:inline>
        </w:drawing>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제126조의7(국외전출자 국내주식등에 대한 외국납부세액의 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제126조의7</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제126조의8(비거주자의 국내원천소득 세액공제)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제126조의8</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제126조의9(국외전출자 국내주식등에 대한 신고ㆍ납부 및 가산세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제126조의9</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제126조의10(납부유예)</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제126조의10</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제126조의11(재전입 등에 따른 환급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제126조의11</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제126조의12(국외전출자 국내주식등에 대한 준용규정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제126조의12</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15.&gt;</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29.&gt;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제1항부터 제7항까지의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29.&gt;</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31.&gt;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제128조제1항, 제128조제2항 각 호 외의 부분</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9"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연금소득자의 나이에 따른 다음의 세율</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Pr>
        <w:drawing>
          <wp:inline distB="0" distT="0" distL="114300" distR="114300">
            <wp:extent cx="4142740" cy="1315085"/>
            <wp:effectExtent b="0" l="0" r="0" t="0"/>
            <wp:docPr id="40"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금융투자소득에 대해서는 100분의 20</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제127조제1항제9호의 금융투자소득: 다음 계산식에 따라 계산한 금액</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04670"/>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524510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제148조의2(금융투자소득에 대한 원천징수시기 및 방법)</w:t>
      </w:r>
      <w:r w:rsidDel="00000000" w:rsidR="00000000" w:rsidRPr="00000000">
        <w:rPr>
          <w:rFonts w:ascii="Arial Unicode MS" w:cs="Arial Unicode MS" w:eastAsia="Arial Unicode MS" w:hAnsi="Arial Unicode MS"/>
          <w:smallCaps w:val="0"/>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해당 과세기간의 반기</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반기 중 계좌를 해지한 경우 반기 시작일부터 계좌해지일까지</w:t>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제148조의2</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제148조의3(금융투자소득에 대한 원천징수영수증의 발급)</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제148조의3</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8.&gt;</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제155조의2제2호</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C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C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2021. 3. 16.&gt;</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제164조(지급명세서의 제출)</w:t>
      </w:r>
      <w:r w:rsidDel="00000000" w:rsidR="00000000" w:rsidRPr="00000000">
        <w:rPr>
          <w:rFonts w:ascii="Arial Unicode MS" w:cs="Arial Unicode MS" w:eastAsia="Arial Unicode MS" w:hAnsi="Arial Unicode MS"/>
          <w:smallCaps w:val="0"/>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금융투자소득</w:t>
      </w:r>
    </w:p>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제164조제1항</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제164조의4</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D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2017. 12. 19.&gt;</w:t>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2015. 12. 15.]</w:t>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제174조의2(금융투자상품의 거래ㆍ보유 내역 제출 및 보관)</w:t>
      </w:r>
      <w:r w:rsidDel="00000000" w:rsidR="00000000" w:rsidRPr="00000000">
        <w:rPr>
          <w:rFonts w:ascii="Arial Unicode MS" w:cs="Arial Unicode MS" w:eastAsia="Arial Unicode MS" w:hAnsi="Arial Unicode MS"/>
          <w:smallCaps w:val="0"/>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2021. 12. 8.]</w:t>
      </w:r>
    </w:p>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제174조의2</w:t>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&lt;제19933호,2023. 12. 31.&gt;</w:t>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제25조제1항제2호의 개정규정: 2026년 1월 1일</w:t>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제86조제1호의 개정규정: 2024년 7월 1일</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제95조제5항 및 제6항의 개정규정: 2025년 1월 1일</w:t>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3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3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tl w:val="0"/>
        </w:rPr>
      </w:r>
    </w:p>
    <w:sectPr>
      <w:headerReference r:id="rId58" w:type="default"/>
      <w:footerReference r:id="rId59"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31"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33" name="image33.png"/>
                <a:graphic>
                  <a:graphicData uri="http://schemas.openxmlformats.org/drawingml/2006/picture">
                    <pic:pic>
                      <pic:nvPicPr>
                        <pic:cNvPr id="0" name="image33.png"/>
                        <pic:cNvPicPr preferRelativeResize="0"/>
                      </pic:nvPicPr>
                      <pic:blipFill>
                        <a:blip r:embed="rId2"/>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png"/><Relationship Id="rId43" Type="http://schemas.openxmlformats.org/officeDocument/2006/relationships/image" Target="media/image20.png"/><Relationship Id="rId46" Type="http://schemas.openxmlformats.org/officeDocument/2006/relationships/image" Target="media/image3.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5.png"/><Relationship Id="rId8" Type="http://schemas.openxmlformats.org/officeDocument/2006/relationships/image" Target="media/image34.pn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30.png"/><Relationship Id="rId32" Type="http://schemas.openxmlformats.org/officeDocument/2006/relationships/image" Target="media/image29.png"/><Relationship Id="rId35" Type="http://schemas.openxmlformats.org/officeDocument/2006/relationships/image" Target="media/image12.png"/><Relationship Id="rId34" Type="http://schemas.openxmlformats.org/officeDocument/2006/relationships/image" Target="media/image11.png"/><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5.png"/><Relationship Id="rId20" Type="http://schemas.openxmlformats.org/officeDocument/2006/relationships/image" Target="media/image51.png"/><Relationship Id="rId22" Type="http://schemas.openxmlformats.org/officeDocument/2006/relationships/image" Target="media/image53.png"/><Relationship Id="rId21" Type="http://schemas.openxmlformats.org/officeDocument/2006/relationships/image" Target="media/image52.png"/><Relationship Id="rId24" Type="http://schemas.openxmlformats.org/officeDocument/2006/relationships/image" Target="media/image21.png"/><Relationship Id="rId23" Type="http://schemas.openxmlformats.org/officeDocument/2006/relationships/image" Target="media/image54.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0.png"/><Relationship Id="rId52" Type="http://schemas.openxmlformats.org/officeDocument/2006/relationships/image" Target="media/image9.png"/><Relationship Id="rId11" Type="http://schemas.openxmlformats.org/officeDocument/2006/relationships/image" Target="media/image43.png"/><Relationship Id="rId55" Type="http://schemas.openxmlformats.org/officeDocument/2006/relationships/image" Target="media/image39.png"/><Relationship Id="rId10" Type="http://schemas.openxmlformats.org/officeDocument/2006/relationships/image" Target="media/image37.png"/><Relationship Id="rId54" Type="http://schemas.openxmlformats.org/officeDocument/2006/relationships/image" Target="media/image36.png"/><Relationship Id="rId13" Type="http://schemas.openxmlformats.org/officeDocument/2006/relationships/image" Target="media/image46.png"/><Relationship Id="rId57" Type="http://schemas.openxmlformats.org/officeDocument/2006/relationships/image" Target="media/image42.png"/><Relationship Id="rId12" Type="http://schemas.openxmlformats.org/officeDocument/2006/relationships/image" Target="media/image41.png"/><Relationship Id="rId56" Type="http://schemas.openxmlformats.org/officeDocument/2006/relationships/image" Target="media/image40.png"/><Relationship Id="rId15" Type="http://schemas.openxmlformats.org/officeDocument/2006/relationships/image" Target="media/image45.png"/><Relationship Id="rId59" Type="http://schemas.openxmlformats.org/officeDocument/2006/relationships/footer" Target="footer1.xml"/><Relationship Id="rId14" Type="http://schemas.openxmlformats.org/officeDocument/2006/relationships/image" Target="media/image44.png"/><Relationship Id="rId58" Type="http://schemas.openxmlformats.org/officeDocument/2006/relationships/header" Target="header1.xml"/><Relationship Id="rId17" Type="http://schemas.openxmlformats.org/officeDocument/2006/relationships/image" Target="media/image48.png"/><Relationship Id="rId16" Type="http://schemas.openxmlformats.org/officeDocument/2006/relationships/image" Target="media/image47.png"/><Relationship Id="rId19" Type="http://schemas.openxmlformats.org/officeDocument/2006/relationships/image" Target="media/image50.png"/><Relationship Id="rId18" Type="http://schemas.openxmlformats.org/officeDocument/2006/relationships/image" Target="media/image49.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