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F46A1" w14:textId="77777777" w:rsidR="00B241EA" w:rsidRDefault="001521A1">
      <w:pPr>
        <w:spacing w:after="240" w:line="408" w:lineRule="auto"/>
      </w:pPr>
      <w:r>
        <w:rPr>
          <w:color w:val="1A1A1A"/>
        </w:rPr>
        <w:t>Radek Zajkowski: ○○○○</w:t>
      </w:r>
    </w:p>
    <w:p w14:paraId="446559F1" w14:textId="77777777" w:rsidR="00B241EA" w:rsidRDefault="001521A1">
      <w:pPr>
        <w:spacing w:after="80" w:line="324" w:lineRule="auto"/>
      </w:pPr>
      <w:r>
        <w:rPr>
          <w:rFonts w:ascii="Calibri" w:eastAsia="Calibri" w:hAnsi="Calibri" w:cs="Calibri"/>
          <w:b/>
          <w:bCs/>
          <w:color w:val="1A2A4A"/>
          <w:spacing w:val="24"/>
          <w:sz w:val="19"/>
          <w:szCs w:val="19"/>
        </w:rPr>
        <w:t>PROFESSIONAL SUMMARY</w:t>
      </w:r>
    </w:p>
    <w:p w14:paraId="7F384904" w14:textId="77777777" w:rsidR="00B241EA" w:rsidRDefault="001521A1">
      <w:pPr>
        <w:spacing w:after="240" w:line="336" w:lineRule="auto"/>
      </w:pPr>
      <w:r>
        <w:rPr>
          <w:rFonts w:ascii="Calibri" w:eastAsia="Calibri" w:hAnsi="Calibri" w:cs="Calibri"/>
          <w:color w:val="1A1A1A"/>
          <w:sz w:val="20"/>
          <w:szCs w:val="20"/>
        </w:rPr>
        <w:t>Seasoned IT leader with 20+ years of experience building and managing high-performing technical teams across enterprise software, SaaS platforms, and cloud infrastructure. Proven track record owning enterprise tools ecosystems — including Atlassian Suite (Jira, JSM, Confluence), Microsoft Copilot 365, AI enablement initiatives, and cloud migration programs. Skilled at setting technical strategy, managing vendor relationships, and establishing governance frameworks that scale. Equally effective as a hands-on</w:t>
      </w:r>
      <w:r>
        <w:rPr>
          <w:rFonts w:ascii="Calibri" w:eastAsia="Calibri" w:hAnsi="Calibri" w:cs="Calibri"/>
          <w:color w:val="1A1A1A"/>
          <w:sz w:val="20"/>
          <w:szCs w:val="20"/>
        </w:rPr>
        <w:t xml:space="preserve"> technical architect and a people-first team manager who drives operational excellence through structure, documentation, and repeatable process.</w:t>
      </w:r>
    </w:p>
    <w:p w14:paraId="2D560FD2" w14:textId="77777777" w:rsidR="00B241EA" w:rsidRDefault="001521A1">
      <w:pPr>
        <w:spacing w:after="80" w:line="324" w:lineRule="auto"/>
      </w:pPr>
      <w:r>
        <w:rPr>
          <w:rFonts w:ascii="Calibri" w:eastAsia="Calibri" w:hAnsi="Calibri" w:cs="Calibri"/>
          <w:b/>
          <w:bCs/>
          <w:color w:val="1A2A4A"/>
          <w:spacing w:val="24"/>
          <w:sz w:val="19"/>
          <w:szCs w:val="19"/>
        </w:rPr>
        <w:t>CORE COMPETENCIES</w:t>
      </w:r>
    </w:p>
    <w:p w14:paraId="59A9BE62" w14:textId="77777777" w:rsidR="00B241EA" w:rsidRDefault="00B241EA">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4488"/>
        <w:gridCol w:w="4862"/>
      </w:tblGrid>
      <w:tr w:rsidR="00B241EA" w14:paraId="15DEAB00" w14:textId="77777777">
        <w:tblPrEx>
          <w:tblCellMar>
            <w:top w:w="0" w:type="dxa"/>
            <w:bottom w:w="0" w:type="dxa"/>
          </w:tblCellMar>
        </w:tblPrEx>
        <w:trPr>
          <w:tblHeader/>
        </w:trPr>
        <w:tc>
          <w:tcPr>
            <w:tcW w:w="2400" w:type="pct"/>
          </w:tcPr>
          <w:p w14:paraId="5FF9A04C" w14:textId="77777777" w:rsidR="00B241EA" w:rsidRDefault="001521A1">
            <w:r>
              <w:rPr>
                <w:rFonts w:ascii="Calibri" w:eastAsia="Calibri" w:hAnsi="Calibri" w:cs="Calibri"/>
                <w:b/>
                <w:bCs/>
                <w:color w:val="1A1A1A"/>
                <w:sz w:val="20"/>
                <w:szCs w:val="20"/>
              </w:rPr>
              <w:t>Enterprise Tools Management</w:t>
            </w:r>
          </w:p>
        </w:tc>
        <w:tc>
          <w:tcPr>
            <w:tcW w:w="2600" w:type="pct"/>
          </w:tcPr>
          <w:p w14:paraId="068776A1" w14:textId="77777777" w:rsidR="00B241EA" w:rsidRDefault="001521A1">
            <w:r>
              <w:rPr>
                <w:rFonts w:ascii="Calibri" w:eastAsia="Calibri" w:hAnsi="Calibri" w:cs="Calibri"/>
                <w:b/>
                <w:bCs/>
                <w:color w:val="1A1A1A"/>
                <w:sz w:val="20"/>
                <w:szCs w:val="20"/>
              </w:rPr>
              <w:t>Atlassian Suite (Jira, JSM, Confluence)</w:t>
            </w:r>
          </w:p>
        </w:tc>
      </w:tr>
      <w:tr w:rsidR="00B241EA" w14:paraId="4E6B8A91" w14:textId="77777777">
        <w:tblPrEx>
          <w:tblCellMar>
            <w:top w:w="0" w:type="dxa"/>
            <w:bottom w:w="0" w:type="dxa"/>
          </w:tblCellMar>
        </w:tblPrEx>
        <w:tc>
          <w:tcPr>
            <w:tcW w:w="2400" w:type="pct"/>
          </w:tcPr>
          <w:p w14:paraId="1A52CE6F" w14:textId="77777777" w:rsidR="00B241EA" w:rsidRDefault="001521A1">
            <w:r>
              <w:rPr>
                <w:rFonts w:ascii="Calibri" w:eastAsia="Calibri" w:hAnsi="Calibri" w:cs="Calibri"/>
                <w:color w:val="1A1A1A"/>
                <w:sz w:val="20"/>
                <w:szCs w:val="20"/>
              </w:rPr>
              <w:t>SaaS Governance &amp; Vendor Management</w:t>
            </w:r>
          </w:p>
        </w:tc>
        <w:tc>
          <w:tcPr>
            <w:tcW w:w="2600" w:type="pct"/>
          </w:tcPr>
          <w:p w14:paraId="75C62AF9" w14:textId="77777777" w:rsidR="00B241EA" w:rsidRDefault="001521A1">
            <w:r>
              <w:rPr>
                <w:rFonts w:ascii="Calibri" w:eastAsia="Calibri" w:hAnsi="Calibri" w:cs="Calibri"/>
                <w:color w:val="1A1A1A"/>
                <w:sz w:val="20"/>
                <w:szCs w:val="20"/>
              </w:rPr>
              <w:t>AI Enablement &amp; Policy Development</w:t>
            </w:r>
          </w:p>
        </w:tc>
      </w:tr>
      <w:tr w:rsidR="00B241EA" w14:paraId="403AB4E5" w14:textId="77777777">
        <w:tblPrEx>
          <w:tblCellMar>
            <w:top w:w="0" w:type="dxa"/>
            <w:bottom w:w="0" w:type="dxa"/>
          </w:tblCellMar>
        </w:tblPrEx>
        <w:tc>
          <w:tcPr>
            <w:tcW w:w="2400" w:type="pct"/>
          </w:tcPr>
          <w:p w14:paraId="0EAFBD1D" w14:textId="77777777" w:rsidR="00B241EA" w:rsidRDefault="001521A1">
            <w:r>
              <w:rPr>
                <w:rFonts w:ascii="Calibri" w:eastAsia="Calibri" w:hAnsi="Calibri" w:cs="Calibri"/>
                <w:color w:val="1A1A1A"/>
                <w:sz w:val="20"/>
                <w:szCs w:val="20"/>
              </w:rPr>
              <w:t>Cloud Migration (AWS, Azure, SaaS)</w:t>
            </w:r>
          </w:p>
        </w:tc>
        <w:tc>
          <w:tcPr>
            <w:tcW w:w="2600" w:type="pct"/>
          </w:tcPr>
          <w:p w14:paraId="06F6AC40" w14:textId="77777777" w:rsidR="00B241EA" w:rsidRDefault="001521A1">
            <w:r>
              <w:rPr>
                <w:rFonts w:ascii="Calibri" w:eastAsia="Calibri" w:hAnsi="Calibri" w:cs="Calibri"/>
                <w:color w:val="1A1A1A"/>
                <w:sz w:val="20"/>
                <w:szCs w:val="20"/>
              </w:rPr>
              <w:t>Team Leadership &amp; Development</w:t>
            </w:r>
          </w:p>
        </w:tc>
      </w:tr>
      <w:tr w:rsidR="00B241EA" w14:paraId="74EFDCF9" w14:textId="77777777">
        <w:tblPrEx>
          <w:tblCellMar>
            <w:top w:w="0" w:type="dxa"/>
            <w:bottom w:w="0" w:type="dxa"/>
          </w:tblCellMar>
        </w:tblPrEx>
        <w:tc>
          <w:tcPr>
            <w:tcW w:w="2400" w:type="pct"/>
          </w:tcPr>
          <w:p w14:paraId="273A7E06" w14:textId="77777777" w:rsidR="00B241EA" w:rsidRDefault="001521A1">
            <w:r>
              <w:rPr>
                <w:rFonts w:ascii="Calibri" w:eastAsia="Calibri" w:hAnsi="Calibri" w:cs="Calibri"/>
                <w:color w:val="1A1A1A"/>
                <w:sz w:val="20"/>
                <w:szCs w:val="20"/>
              </w:rPr>
              <w:t>DevOps &amp; CI/CD Strategy</w:t>
            </w:r>
          </w:p>
        </w:tc>
        <w:tc>
          <w:tcPr>
            <w:tcW w:w="2600" w:type="pct"/>
          </w:tcPr>
          <w:p w14:paraId="0A0174F0" w14:textId="77777777" w:rsidR="00B241EA" w:rsidRDefault="001521A1">
            <w:r>
              <w:rPr>
                <w:rFonts w:ascii="Calibri" w:eastAsia="Calibri" w:hAnsi="Calibri" w:cs="Calibri"/>
                <w:color w:val="1A1A1A"/>
                <w:sz w:val="20"/>
                <w:szCs w:val="20"/>
              </w:rPr>
              <w:t>Cross-functional Stakeholder Management</w:t>
            </w:r>
          </w:p>
        </w:tc>
      </w:tr>
      <w:tr w:rsidR="00B241EA" w14:paraId="3C61CB85" w14:textId="77777777">
        <w:tblPrEx>
          <w:tblCellMar>
            <w:top w:w="0" w:type="dxa"/>
            <w:bottom w:w="0" w:type="dxa"/>
          </w:tblCellMar>
        </w:tblPrEx>
        <w:tc>
          <w:tcPr>
            <w:tcW w:w="2400" w:type="pct"/>
          </w:tcPr>
          <w:p w14:paraId="30FD28BB" w14:textId="77777777" w:rsidR="00B241EA" w:rsidRDefault="001521A1">
            <w:r>
              <w:rPr>
                <w:rFonts w:ascii="Calibri" w:eastAsia="Calibri" w:hAnsi="Calibri" w:cs="Calibri"/>
                <w:color w:val="1A1A1A"/>
                <w:sz w:val="20"/>
                <w:szCs w:val="20"/>
              </w:rPr>
              <w:t>Workflow Automation &amp; Process Design</w:t>
            </w:r>
          </w:p>
        </w:tc>
        <w:tc>
          <w:tcPr>
            <w:tcW w:w="2600" w:type="pct"/>
          </w:tcPr>
          <w:p w14:paraId="7B10538A" w14:textId="77777777" w:rsidR="00B241EA" w:rsidRDefault="001521A1">
            <w:r>
              <w:rPr>
                <w:rFonts w:ascii="Calibri" w:eastAsia="Calibri" w:hAnsi="Calibri" w:cs="Calibri"/>
                <w:color w:val="1A1A1A"/>
                <w:sz w:val="20"/>
                <w:szCs w:val="20"/>
              </w:rPr>
              <w:t>Technical Architecture &amp; Platform Design</w:t>
            </w:r>
          </w:p>
        </w:tc>
      </w:tr>
      <w:tr w:rsidR="00B241EA" w14:paraId="20968BB8" w14:textId="77777777">
        <w:tblPrEx>
          <w:tblCellMar>
            <w:top w:w="0" w:type="dxa"/>
            <w:bottom w:w="0" w:type="dxa"/>
          </w:tblCellMar>
        </w:tblPrEx>
        <w:tc>
          <w:tcPr>
            <w:tcW w:w="2400" w:type="pct"/>
          </w:tcPr>
          <w:p w14:paraId="0EC986DC" w14:textId="58240FA2" w:rsidR="00B241EA" w:rsidRDefault="001521A1">
            <w:r>
              <w:rPr>
                <w:rFonts w:ascii="Calibri" w:eastAsia="Calibri" w:hAnsi="Calibri" w:cs="Calibri"/>
                <w:color w:val="1A1A1A"/>
                <w:sz w:val="20"/>
                <w:szCs w:val="20"/>
              </w:rPr>
              <w:t>ITIL4 Foundation</w:t>
            </w:r>
            <w:r w:rsidR="002914D8">
              <w:rPr>
                <w:rFonts w:ascii="Calibri" w:eastAsia="Calibri" w:hAnsi="Calibri" w:cs="Calibri"/>
                <w:color w:val="1A1A1A"/>
                <w:sz w:val="20"/>
                <w:szCs w:val="20"/>
              </w:rPr>
              <w:t xml:space="preserve"> </w:t>
            </w:r>
            <w:proofErr w:type="spellStart"/>
            <w:r w:rsidR="002914D8">
              <w:rPr>
                <w:rFonts w:ascii="Calibri" w:eastAsia="Calibri" w:hAnsi="Calibri" w:cs="Calibri"/>
                <w:color w:val="1A1A1A"/>
                <w:sz w:val="20"/>
                <w:szCs w:val="20"/>
              </w:rPr>
              <w:t>Cerified</w:t>
            </w:r>
            <w:proofErr w:type="spellEnd"/>
          </w:p>
        </w:tc>
        <w:tc>
          <w:tcPr>
            <w:tcW w:w="2600" w:type="pct"/>
          </w:tcPr>
          <w:p w14:paraId="64475BB8" w14:textId="77777777" w:rsidR="00B241EA" w:rsidRDefault="001521A1">
            <w:r>
              <w:rPr>
                <w:rFonts w:ascii="Calibri" w:eastAsia="Calibri" w:hAnsi="Calibri" w:cs="Calibri"/>
                <w:color w:val="1A1A1A"/>
                <w:sz w:val="20"/>
                <w:szCs w:val="20"/>
              </w:rPr>
              <w:t>Agile / Scrum Delivery</w:t>
            </w:r>
          </w:p>
        </w:tc>
      </w:tr>
    </w:tbl>
    <w:p w14:paraId="4A7ADE92" w14:textId="77777777" w:rsidR="00B241EA" w:rsidRDefault="00B241EA">
      <w:pPr>
        <w:spacing w:after="200"/>
      </w:pPr>
    </w:p>
    <w:p w14:paraId="66B960E0" w14:textId="77777777" w:rsidR="00B241EA" w:rsidRDefault="001521A1">
      <w:pPr>
        <w:spacing w:after="80" w:line="324" w:lineRule="auto"/>
      </w:pPr>
      <w:r>
        <w:rPr>
          <w:rFonts w:ascii="Calibri" w:eastAsia="Calibri" w:hAnsi="Calibri" w:cs="Calibri"/>
          <w:b/>
          <w:bCs/>
          <w:color w:val="1A2A4A"/>
          <w:spacing w:val="24"/>
          <w:sz w:val="19"/>
          <w:szCs w:val="19"/>
        </w:rPr>
        <w:t>EMPLOYMENT EXPERIENCE</w:t>
      </w:r>
    </w:p>
    <w:p w14:paraId="70C66968" w14:textId="77777777" w:rsidR="00B241EA" w:rsidRDefault="00B241EA">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7480"/>
        <w:gridCol w:w="1870"/>
      </w:tblGrid>
      <w:tr w:rsidR="00B241EA" w14:paraId="3849CD43" w14:textId="77777777">
        <w:tblPrEx>
          <w:tblCellMar>
            <w:top w:w="0" w:type="dxa"/>
            <w:bottom w:w="0" w:type="dxa"/>
          </w:tblCellMar>
        </w:tblPrEx>
        <w:trPr>
          <w:tblHeader/>
        </w:trPr>
        <w:tc>
          <w:tcPr>
            <w:tcW w:w="4000" w:type="pct"/>
          </w:tcPr>
          <w:p w14:paraId="06C6BA8A" w14:textId="77777777" w:rsidR="00B241EA" w:rsidRDefault="001521A1">
            <w:r>
              <w:rPr>
                <w:rFonts w:ascii="Calibri" w:eastAsia="Calibri" w:hAnsi="Calibri" w:cs="Calibri"/>
                <w:b/>
                <w:bCs/>
                <w:color w:val="1A1A1A"/>
                <w:sz w:val="21"/>
                <w:szCs w:val="21"/>
              </w:rPr>
              <w:t xml:space="preserve">Manager, Enterprise Software </w:t>
            </w:r>
            <w:proofErr w:type="gramStart"/>
            <w:r>
              <w:rPr>
                <w:rFonts w:ascii="Calibri" w:eastAsia="Calibri" w:hAnsi="Calibri" w:cs="Calibri"/>
                <w:b/>
                <w:bCs/>
                <w:color w:val="1A1A1A"/>
                <w:sz w:val="21"/>
                <w:szCs w:val="21"/>
              </w:rPr>
              <w:t>Services</w:t>
            </w:r>
            <w:r>
              <w:rPr>
                <w:rFonts w:ascii="Calibri" w:eastAsia="Calibri" w:hAnsi="Calibri" w:cs="Calibri"/>
                <w:b/>
                <w:bCs/>
                <w:color w:val="1A1A1A"/>
                <w:sz w:val="20"/>
                <w:szCs w:val="20"/>
              </w:rPr>
              <w:t xml:space="preserve"> </w:t>
            </w:r>
            <w:r>
              <w:rPr>
                <w:rFonts w:ascii="Calibri" w:eastAsia="Calibri" w:hAnsi="Calibri" w:cs="Calibri"/>
                <w:b/>
                <w:bCs/>
                <w:color w:val="1A1A1A"/>
                <w:sz w:val="20"/>
                <w:szCs w:val="20"/>
              </w:rPr>
              <w:t xml:space="preserve"> </w:t>
            </w:r>
            <w:r>
              <w:rPr>
                <w:rFonts w:ascii="Calibri" w:eastAsia="Calibri" w:hAnsi="Calibri" w:cs="Calibri"/>
                <w:b/>
                <w:bCs/>
                <w:color w:val="2A4A7A"/>
                <w:sz w:val="20"/>
                <w:szCs w:val="20"/>
              </w:rPr>
              <w:t>TVO</w:t>
            </w:r>
            <w:proofErr w:type="gramEnd"/>
            <w:r>
              <w:rPr>
                <w:rFonts w:ascii="Calibri" w:eastAsia="Calibri" w:hAnsi="Calibri" w:cs="Calibri"/>
                <w:b/>
                <w:bCs/>
                <w:color w:val="2A4A7A"/>
                <w:sz w:val="20"/>
                <w:szCs w:val="20"/>
              </w:rPr>
              <w:t xml:space="preserve"> — The Ontario Educational Communications Authority</w:t>
            </w:r>
            <w:r>
              <w:rPr>
                <w:rFonts w:ascii="Calibri" w:eastAsia="Calibri" w:hAnsi="Calibri" w:cs="Calibri"/>
                <w:b/>
                <w:bCs/>
                <w:color w:val="1A1A1A"/>
                <w:sz w:val="20"/>
                <w:szCs w:val="20"/>
              </w:rPr>
              <w:t xml:space="preserve"> </w:t>
            </w:r>
            <w:r>
              <w:rPr>
                <w:rFonts w:ascii="Calibri" w:eastAsia="Calibri" w:hAnsi="Calibri" w:cs="Calibri"/>
                <w:b/>
                <w:bCs/>
                <w:color w:val="555555"/>
                <w:sz w:val="18"/>
                <w:szCs w:val="18"/>
              </w:rPr>
              <w:t xml:space="preserve">  </w:t>
            </w:r>
            <w:proofErr w:type="gramStart"/>
            <w:r>
              <w:rPr>
                <w:rFonts w:ascii="Calibri" w:eastAsia="Calibri" w:hAnsi="Calibri" w:cs="Calibri"/>
                <w:b/>
                <w:bCs/>
                <w:color w:val="555555"/>
                <w:sz w:val="18"/>
                <w:szCs w:val="18"/>
              </w:rPr>
              <w:t>|  Toronto</w:t>
            </w:r>
            <w:proofErr w:type="gramEnd"/>
            <w:r>
              <w:rPr>
                <w:rFonts w:ascii="Calibri" w:eastAsia="Calibri" w:hAnsi="Calibri" w:cs="Calibri"/>
                <w:b/>
                <w:bCs/>
                <w:color w:val="555555"/>
                <w:sz w:val="18"/>
                <w:szCs w:val="18"/>
              </w:rPr>
              <w:t>, ON</w:t>
            </w:r>
          </w:p>
        </w:tc>
        <w:tc>
          <w:tcPr>
            <w:tcW w:w="1000" w:type="pct"/>
          </w:tcPr>
          <w:p w14:paraId="10EEE813" w14:textId="77777777" w:rsidR="00B241EA" w:rsidRDefault="001521A1">
            <w:r>
              <w:rPr>
                <w:rFonts w:ascii="Calibri" w:eastAsia="Calibri" w:hAnsi="Calibri" w:cs="Calibri"/>
                <w:b/>
                <w:bCs/>
                <w:color w:val="555555"/>
                <w:sz w:val="18"/>
                <w:szCs w:val="18"/>
              </w:rPr>
              <w:t>Feb 2023 – Present</w:t>
            </w:r>
          </w:p>
        </w:tc>
      </w:tr>
    </w:tbl>
    <w:p w14:paraId="02544B33" w14:textId="77777777" w:rsidR="00B241EA" w:rsidRDefault="00B241EA">
      <w:pPr>
        <w:spacing w:after="200"/>
      </w:pPr>
    </w:p>
    <w:p w14:paraId="76D59E6B" w14:textId="1F0592C3"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 xml:space="preserve">Lead a team of </w:t>
      </w:r>
      <w:r w:rsidR="002914D8">
        <w:rPr>
          <w:rFonts w:ascii="Calibri" w:eastAsia="Calibri" w:hAnsi="Calibri" w:cs="Calibri"/>
          <w:color w:val="1A1A1A"/>
          <w:sz w:val="19"/>
          <w:szCs w:val="19"/>
        </w:rPr>
        <w:t>8</w:t>
      </w:r>
      <w:r>
        <w:rPr>
          <w:rFonts w:ascii="Calibri" w:eastAsia="Calibri" w:hAnsi="Calibri" w:cs="Calibri"/>
          <w:color w:val="1A1A1A"/>
          <w:sz w:val="19"/>
          <w:szCs w:val="19"/>
        </w:rPr>
        <w:t xml:space="preserve"> Business System Owners and </w:t>
      </w:r>
      <w:r w:rsidR="002914D8">
        <w:rPr>
          <w:rFonts w:ascii="Calibri" w:eastAsia="Calibri" w:hAnsi="Calibri" w:cs="Calibri"/>
          <w:color w:val="1A1A1A"/>
          <w:sz w:val="19"/>
          <w:szCs w:val="19"/>
        </w:rPr>
        <w:t>2</w:t>
      </w:r>
      <w:r>
        <w:rPr>
          <w:rFonts w:ascii="Calibri" w:eastAsia="Calibri" w:hAnsi="Calibri" w:cs="Calibri"/>
          <w:color w:val="1A1A1A"/>
          <w:sz w:val="19"/>
          <w:szCs w:val="19"/>
        </w:rPr>
        <w:t xml:space="preserve"> developers supporting enterprise business applications across the organization, conducting weekly 1:1s</w:t>
      </w:r>
      <w:r w:rsidR="00524E70">
        <w:rPr>
          <w:rFonts w:ascii="Calibri" w:eastAsia="Calibri" w:hAnsi="Calibri" w:cs="Calibri"/>
          <w:color w:val="1A1A1A"/>
          <w:sz w:val="19"/>
          <w:szCs w:val="19"/>
        </w:rPr>
        <w:t xml:space="preserve">, </w:t>
      </w:r>
      <w:r>
        <w:rPr>
          <w:rFonts w:ascii="Calibri" w:eastAsia="Calibri" w:hAnsi="Calibri" w:cs="Calibri"/>
          <w:color w:val="1A1A1A"/>
          <w:sz w:val="19"/>
          <w:szCs w:val="19"/>
        </w:rPr>
        <w:t>daily standups</w:t>
      </w:r>
      <w:r w:rsidR="00524E70">
        <w:rPr>
          <w:rFonts w:ascii="Calibri" w:eastAsia="Calibri" w:hAnsi="Calibri" w:cs="Calibri"/>
          <w:color w:val="1A1A1A"/>
          <w:sz w:val="19"/>
          <w:szCs w:val="19"/>
        </w:rPr>
        <w:t>, retrospectives and regular team regroups</w:t>
      </w:r>
      <w:r>
        <w:rPr>
          <w:rFonts w:ascii="Calibri" w:eastAsia="Calibri" w:hAnsi="Calibri" w:cs="Calibri"/>
          <w:color w:val="1A1A1A"/>
          <w:sz w:val="19"/>
          <w:szCs w:val="19"/>
        </w:rPr>
        <w:t>.</w:t>
      </w:r>
    </w:p>
    <w:p w14:paraId="7C2B663B" w14:textId="77777777" w:rsidR="00B241EA" w:rsidRPr="00896CD8" w:rsidRDefault="001521A1" w:rsidP="002914D8">
      <w:pPr>
        <w:pStyle w:val="ListParagraph"/>
        <w:numPr>
          <w:ilvl w:val="0"/>
          <w:numId w:val="1"/>
        </w:numPr>
        <w:spacing w:after="60" w:line="360" w:lineRule="auto"/>
      </w:pPr>
      <w:r>
        <w:rPr>
          <w:rFonts w:ascii="Calibri" w:eastAsia="Calibri" w:hAnsi="Calibri" w:cs="Calibri"/>
          <w:color w:val="1A1A1A"/>
          <w:sz w:val="19"/>
          <w:szCs w:val="19"/>
        </w:rPr>
        <w:t>Spearheaded org-wide rollout and adoption of Atlassian Suite (Jira, JSM, Confluence) across all 500 staff — spanning Product, Finance, Procurement, Legal, Digital Learning, Tutoring Platforms, TV Production, and Digital Content Production — alongside Microsoft Copilot 365, Sparkrock365 (Finance ERP), and VSN (Media Asset Management).</w:t>
      </w:r>
    </w:p>
    <w:p w14:paraId="6392973E" w14:textId="4411E1CB" w:rsidR="00896CD8" w:rsidRDefault="00896CD8" w:rsidP="00896CD8">
      <w:pPr>
        <w:pStyle w:val="ListParagraph"/>
        <w:numPr>
          <w:ilvl w:val="0"/>
          <w:numId w:val="1"/>
        </w:numPr>
        <w:spacing w:after="60" w:line="360" w:lineRule="auto"/>
      </w:pPr>
      <w:r>
        <w:rPr>
          <w:rFonts w:ascii="Calibri" w:eastAsia="Calibri" w:hAnsi="Calibri" w:cs="Calibri"/>
          <w:color w:val="1A1A1A"/>
          <w:sz w:val="19"/>
          <w:szCs w:val="19"/>
        </w:rPr>
        <w:t>Held ~$2M annual software budget responsibility; led the largest single procurement valued at ~$1M, encompassing RFP design, vendor evaluation, contract negotiation, and license governance.</w:t>
      </w:r>
    </w:p>
    <w:p w14:paraId="27FDE3D7"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M</w:t>
      </w:r>
      <w:r>
        <w:rPr>
          <w:rFonts w:ascii="Calibri" w:eastAsia="Calibri" w:hAnsi="Calibri" w:cs="Calibri"/>
          <w:color w:val="1A1A1A"/>
          <w:sz w:val="19"/>
          <w:szCs w:val="19"/>
        </w:rPr>
        <w:t>anaged a portfolio of 20+ software applications ranging from targeted 10-user deployments to full organizational rollouts; platforms served 500 internal employees and ~20,000 external users — students of TVO's Independent Learning Centre (ILC), Canada's largest online high school.</w:t>
      </w:r>
    </w:p>
    <w:p w14:paraId="5BBD2359"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 xml:space="preserve">Implemented request-type-based SLAs in Jira Service Management — urgent incidents resolved under priority </w:t>
      </w:r>
      <w:proofErr w:type="gramStart"/>
      <w:r>
        <w:rPr>
          <w:rFonts w:ascii="Calibri" w:eastAsia="Calibri" w:hAnsi="Calibri" w:cs="Calibri"/>
          <w:color w:val="1A1A1A"/>
          <w:sz w:val="19"/>
          <w:szCs w:val="19"/>
        </w:rPr>
        <w:t>SLAs,</w:t>
      </w:r>
      <w:proofErr w:type="gramEnd"/>
      <w:r>
        <w:rPr>
          <w:rFonts w:ascii="Calibri" w:eastAsia="Calibri" w:hAnsi="Calibri" w:cs="Calibri"/>
          <w:color w:val="1A1A1A"/>
          <w:sz w:val="19"/>
          <w:szCs w:val="19"/>
        </w:rPr>
        <w:t xml:space="preserve"> service requests tiered by complexity with defined delivery timelines.</w:t>
      </w:r>
    </w:p>
    <w:p w14:paraId="0201F4D0"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lastRenderedPageBreak/>
        <w:t>Introduced a formal change management process in JSM: all upgrades, patches, and platform changes logged as change requests, end-users notified proactively, and test cases documented and executed prior to production deployment.</w:t>
      </w:r>
    </w:p>
    <w:p w14:paraId="20197D1F"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Authored and published TVO's Generative AI Use Policy; established a structured governance process for expanding approved AI use-cases through employee proposal submissions.</w:t>
      </w:r>
    </w:p>
    <w:p w14:paraId="0CE1D287" w14:textId="39249ECC"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 xml:space="preserve">Drove reduction of technical debt by migrating custom </w:t>
      </w:r>
      <w:r w:rsidR="00C72BE6">
        <w:rPr>
          <w:rFonts w:ascii="Calibri" w:eastAsia="Calibri" w:hAnsi="Calibri" w:cs="Calibri"/>
          <w:color w:val="1A1A1A"/>
          <w:sz w:val="19"/>
          <w:szCs w:val="19"/>
        </w:rPr>
        <w:t>on-premises</w:t>
      </w:r>
      <w:r>
        <w:rPr>
          <w:rFonts w:ascii="Calibri" w:eastAsia="Calibri" w:hAnsi="Calibri" w:cs="Calibri"/>
          <w:color w:val="1A1A1A"/>
          <w:sz w:val="19"/>
          <w:szCs w:val="19"/>
        </w:rPr>
        <w:t xml:space="preserve"> systems to cloud-hosted SaaS platforms, improving reliability and reducing maintenance overhead.</w:t>
      </w:r>
    </w:p>
    <w:p w14:paraId="4E563B5E"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Served as technical advisor to cross-functional teams on platform selection, workflow automation, and process improvement initiatives.</w:t>
      </w:r>
    </w:p>
    <w:p w14:paraId="5D305313"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Completed quarterly budget variance reports and contributed to multi-year technology planning cycles, aligning software investment with organizational priorities.</w:t>
      </w:r>
    </w:p>
    <w:p w14:paraId="21EFD626"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Collaborated with Infrastructure Services and Cybersecurity on vulnerability management, issue remediation, and tabletop exercises.</w:t>
      </w:r>
    </w:p>
    <w:p w14:paraId="08F725E8"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Established documentation standards, knowledge-sharing frameworks, and identified skill gaps to support team development and operational continuity.</w:t>
      </w:r>
    </w:p>
    <w:p w14:paraId="0C75EE4E" w14:textId="77777777" w:rsidR="00B241EA" w:rsidRDefault="00B241EA">
      <w:pPr>
        <w:pBdr>
          <w:bottom w:val="single" w:sz="6" w:space="0" w:color="1A1A1A"/>
        </w:pBdr>
        <w:spacing w:before="240" w:after="240"/>
      </w:pPr>
    </w:p>
    <w:p w14:paraId="2343E295" w14:textId="77777777" w:rsidR="00B241EA" w:rsidRDefault="00B241EA">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6825"/>
        <w:gridCol w:w="2525"/>
      </w:tblGrid>
      <w:tr w:rsidR="00B241EA" w14:paraId="50FBA489" w14:textId="77777777">
        <w:tblPrEx>
          <w:tblCellMar>
            <w:top w:w="0" w:type="dxa"/>
            <w:bottom w:w="0" w:type="dxa"/>
          </w:tblCellMar>
        </w:tblPrEx>
        <w:trPr>
          <w:tblHeader/>
        </w:trPr>
        <w:tc>
          <w:tcPr>
            <w:tcW w:w="3650" w:type="pct"/>
          </w:tcPr>
          <w:p w14:paraId="7E58231A" w14:textId="77777777" w:rsidR="00B241EA" w:rsidRDefault="001521A1">
            <w:r>
              <w:rPr>
                <w:rFonts w:ascii="Calibri" w:eastAsia="Calibri" w:hAnsi="Calibri" w:cs="Calibri"/>
                <w:b/>
                <w:bCs/>
                <w:color w:val="1A1A1A"/>
                <w:sz w:val="21"/>
                <w:szCs w:val="21"/>
              </w:rPr>
              <w:t xml:space="preserve">VP Technology &amp; Tech </w:t>
            </w:r>
            <w:proofErr w:type="gramStart"/>
            <w:r>
              <w:rPr>
                <w:rFonts w:ascii="Calibri" w:eastAsia="Calibri" w:hAnsi="Calibri" w:cs="Calibri"/>
                <w:b/>
                <w:bCs/>
                <w:color w:val="1A1A1A"/>
                <w:sz w:val="21"/>
                <w:szCs w:val="21"/>
              </w:rPr>
              <w:t>Lead</w:t>
            </w:r>
            <w:r>
              <w:rPr>
                <w:rFonts w:ascii="Calibri" w:eastAsia="Calibri" w:hAnsi="Calibri" w:cs="Calibri"/>
                <w:b/>
                <w:bCs/>
                <w:color w:val="1A1A1A"/>
                <w:sz w:val="20"/>
                <w:szCs w:val="20"/>
              </w:rPr>
              <w:t xml:space="preserve"> </w:t>
            </w:r>
            <w:r>
              <w:rPr>
                <w:rFonts w:ascii="Calibri" w:eastAsia="Calibri" w:hAnsi="Calibri" w:cs="Calibri"/>
                <w:b/>
                <w:bCs/>
                <w:color w:val="1A1A1A"/>
                <w:sz w:val="20"/>
                <w:szCs w:val="20"/>
              </w:rPr>
              <w:t xml:space="preserve"> </w:t>
            </w:r>
            <w:r>
              <w:rPr>
                <w:rFonts w:ascii="Calibri" w:eastAsia="Calibri" w:hAnsi="Calibri" w:cs="Calibri"/>
                <w:b/>
                <w:bCs/>
                <w:color w:val="2A4A7A"/>
                <w:sz w:val="20"/>
                <w:szCs w:val="20"/>
              </w:rPr>
              <w:t>No</w:t>
            </w:r>
            <w:proofErr w:type="gramEnd"/>
            <w:r>
              <w:rPr>
                <w:rFonts w:ascii="Calibri" w:eastAsia="Calibri" w:hAnsi="Calibri" w:cs="Calibri"/>
                <w:b/>
                <w:bCs/>
                <w:color w:val="2A4A7A"/>
                <w:sz w:val="20"/>
                <w:szCs w:val="20"/>
              </w:rPr>
              <w:t xml:space="preserve"> Fixed Address Inc.</w:t>
            </w:r>
            <w:r>
              <w:rPr>
                <w:rFonts w:ascii="Calibri" w:eastAsia="Calibri" w:hAnsi="Calibri" w:cs="Calibri"/>
                <w:b/>
                <w:bCs/>
                <w:color w:val="1A1A1A"/>
                <w:sz w:val="20"/>
                <w:szCs w:val="20"/>
              </w:rPr>
              <w:t xml:space="preserve"> </w:t>
            </w:r>
            <w:r>
              <w:rPr>
                <w:rFonts w:ascii="Calibri" w:eastAsia="Calibri" w:hAnsi="Calibri" w:cs="Calibri"/>
                <w:b/>
                <w:bCs/>
                <w:color w:val="555555"/>
                <w:sz w:val="18"/>
                <w:szCs w:val="18"/>
              </w:rPr>
              <w:t xml:space="preserve">  </w:t>
            </w:r>
            <w:proofErr w:type="gramStart"/>
            <w:r>
              <w:rPr>
                <w:rFonts w:ascii="Calibri" w:eastAsia="Calibri" w:hAnsi="Calibri" w:cs="Calibri"/>
                <w:b/>
                <w:bCs/>
                <w:color w:val="555555"/>
                <w:sz w:val="18"/>
                <w:szCs w:val="18"/>
              </w:rPr>
              <w:t>|  Toronto</w:t>
            </w:r>
            <w:proofErr w:type="gramEnd"/>
            <w:r>
              <w:rPr>
                <w:rFonts w:ascii="Calibri" w:eastAsia="Calibri" w:hAnsi="Calibri" w:cs="Calibri"/>
                <w:b/>
                <w:bCs/>
                <w:color w:val="555555"/>
                <w:sz w:val="18"/>
                <w:szCs w:val="18"/>
              </w:rPr>
              <w:t>, ON</w:t>
            </w:r>
          </w:p>
        </w:tc>
        <w:tc>
          <w:tcPr>
            <w:tcW w:w="1350" w:type="pct"/>
          </w:tcPr>
          <w:p w14:paraId="16478666" w14:textId="77777777" w:rsidR="00B241EA" w:rsidRDefault="001521A1">
            <w:r>
              <w:rPr>
                <w:rFonts w:ascii="Calibri" w:eastAsia="Calibri" w:hAnsi="Calibri" w:cs="Calibri"/>
                <w:b/>
                <w:bCs/>
                <w:color w:val="555555"/>
                <w:sz w:val="18"/>
                <w:szCs w:val="18"/>
              </w:rPr>
              <w:t>Jan 2018 – Feb 2023</w:t>
            </w:r>
          </w:p>
        </w:tc>
      </w:tr>
    </w:tbl>
    <w:p w14:paraId="60E3FF6C" w14:textId="77777777" w:rsidR="00B241EA" w:rsidRDefault="00B241EA">
      <w:pPr>
        <w:spacing w:after="200"/>
      </w:pPr>
    </w:p>
    <w:p w14:paraId="25CAC267"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 xml:space="preserve">Led a team of 3 full-time developers, 1 DevOps engineer, and external partners; defined and governed solution architectures across </w:t>
      </w:r>
      <w:proofErr w:type="spellStart"/>
      <w:r>
        <w:rPr>
          <w:rFonts w:ascii="Calibri" w:eastAsia="Calibri" w:hAnsi="Calibri" w:cs="Calibri"/>
          <w:color w:val="1A1A1A"/>
          <w:sz w:val="19"/>
          <w:szCs w:val="19"/>
        </w:rPr>
        <w:t>JAMstack</w:t>
      </w:r>
      <w:proofErr w:type="spellEnd"/>
      <w:r>
        <w:rPr>
          <w:rFonts w:ascii="Calibri" w:eastAsia="Calibri" w:hAnsi="Calibri" w:cs="Calibri"/>
          <w:color w:val="1A1A1A"/>
          <w:sz w:val="19"/>
          <w:szCs w:val="19"/>
        </w:rPr>
        <w:t>, PHP, and cloud-native environments.</w:t>
      </w:r>
    </w:p>
    <w:p w14:paraId="6E90C008"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Configured and managed AWS environments; delivered web performance, accessibility, and SEO audits with actionable remediation plans.</w:t>
      </w:r>
    </w:p>
    <w:p w14:paraId="4223F236"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Facilitated product design sessions, stakeholder interviews, scoping, estimation, and resource and budget tracking across concurrent engagements.</w:t>
      </w:r>
    </w:p>
    <w:p w14:paraId="780FCC78"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Guided internal teams in selecting and implementing SaaS platform and CMS solutions aligned to client requirements and long-term scalability.</w:t>
      </w:r>
    </w:p>
    <w:p w14:paraId="1124030B" w14:textId="77777777" w:rsidR="00B241EA" w:rsidRDefault="00B241EA">
      <w:pPr>
        <w:pBdr>
          <w:bottom w:val="single" w:sz="6" w:space="0" w:color="1A1A1A"/>
        </w:pBdr>
        <w:spacing w:before="240" w:after="240"/>
      </w:pPr>
    </w:p>
    <w:p w14:paraId="2D9582C1" w14:textId="77777777" w:rsidR="00B241EA" w:rsidRDefault="00B241EA">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6077"/>
        <w:gridCol w:w="3273"/>
      </w:tblGrid>
      <w:tr w:rsidR="00B241EA" w14:paraId="7E6E676F" w14:textId="77777777">
        <w:tblPrEx>
          <w:tblCellMar>
            <w:top w:w="0" w:type="dxa"/>
            <w:bottom w:w="0" w:type="dxa"/>
          </w:tblCellMar>
        </w:tblPrEx>
        <w:trPr>
          <w:tblHeader/>
        </w:trPr>
        <w:tc>
          <w:tcPr>
            <w:tcW w:w="3250" w:type="pct"/>
          </w:tcPr>
          <w:p w14:paraId="5BC60412" w14:textId="77777777" w:rsidR="00B241EA" w:rsidRDefault="001521A1">
            <w:r>
              <w:rPr>
                <w:rFonts w:ascii="Calibri" w:eastAsia="Calibri" w:hAnsi="Calibri" w:cs="Calibri"/>
                <w:b/>
                <w:bCs/>
                <w:color w:val="1A1A1A"/>
                <w:sz w:val="21"/>
                <w:szCs w:val="21"/>
              </w:rPr>
              <w:t xml:space="preserve">CTO &amp; Technical </w:t>
            </w:r>
            <w:proofErr w:type="gramStart"/>
            <w:r>
              <w:rPr>
                <w:rFonts w:ascii="Calibri" w:eastAsia="Calibri" w:hAnsi="Calibri" w:cs="Calibri"/>
                <w:b/>
                <w:bCs/>
                <w:color w:val="1A1A1A"/>
                <w:sz w:val="21"/>
                <w:szCs w:val="21"/>
              </w:rPr>
              <w:t>Architect</w:t>
            </w:r>
            <w:r>
              <w:rPr>
                <w:rFonts w:ascii="Calibri" w:eastAsia="Calibri" w:hAnsi="Calibri" w:cs="Calibri"/>
                <w:b/>
                <w:bCs/>
                <w:color w:val="1A1A1A"/>
                <w:sz w:val="20"/>
                <w:szCs w:val="20"/>
              </w:rPr>
              <w:t xml:space="preserve"> </w:t>
            </w:r>
            <w:r>
              <w:rPr>
                <w:rFonts w:ascii="Calibri" w:eastAsia="Calibri" w:hAnsi="Calibri" w:cs="Calibri"/>
                <w:b/>
                <w:bCs/>
                <w:color w:val="1A1A1A"/>
                <w:sz w:val="20"/>
                <w:szCs w:val="20"/>
              </w:rPr>
              <w:t xml:space="preserve"> </w:t>
            </w:r>
            <w:r>
              <w:rPr>
                <w:rFonts w:ascii="Calibri" w:eastAsia="Calibri" w:hAnsi="Calibri" w:cs="Calibri"/>
                <w:b/>
                <w:bCs/>
                <w:color w:val="2A4A7A"/>
                <w:sz w:val="20"/>
                <w:szCs w:val="20"/>
              </w:rPr>
              <w:t>Reddin</w:t>
            </w:r>
            <w:proofErr w:type="gramEnd"/>
            <w:r>
              <w:rPr>
                <w:rFonts w:ascii="Calibri" w:eastAsia="Calibri" w:hAnsi="Calibri" w:cs="Calibri"/>
                <w:b/>
                <w:bCs/>
                <w:color w:val="2A4A7A"/>
                <w:sz w:val="20"/>
                <w:szCs w:val="20"/>
              </w:rPr>
              <w:t xml:space="preserve"> Global</w:t>
            </w:r>
          </w:p>
        </w:tc>
        <w:tc>
          <w:tcPr>
            <w:tcW w:w="1750" w:type="pct"/>
          </w:tcPr>
          <w:p w14:paraId="56971E33" w14:textId="77777777" w:rsidR="00B241EA" w:rsidRDefault="001521A1">
            <w:r>
              <w:rPr>
                <w:rFonts w:ascii="Calibri" w:eastAsia="Calibri" w:hAnsi="Calibri" w:cs="Calibri"/>
                <w:b/>
                <w:bCs/>
                <w:color w:val="555555"/>
                <w:sz w:val="18"/>
                <w:szCs w:val="18"/>
              </w:rPr>
              <w:t>Jan 2015 – Dec 2018</w:t>
            </w:r>
          </w:p>
        </w:tc>
      </w:tr>
    </w:tbl>
    <w:p w14:paraId="6C831684" w14:textId="77777777" w:rsidR="00B241EA" w:rsidRDefault="00B241EA">
      <w:pPr>
        <w:spacing w:after="200"/>
      </w:pPr>
    </w:p>
    <w:p w14:paraId="7C03B644"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Led a cross-functional team of up to 7 developers, 2 QA analysts, and 2 UX/UI designers building mobile web application products.</w:t>
      </w:r>
    </w:p>
    <w:p w14:paraId="357459B2"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lastRenderedPageBreak/>
        <w:t>Designed and executed technical proof-of-concepts; developed CI/CD DevOps strategy for continuous deployment pipelines.</w:t>
      </w:r>
    </w:p>
    <w:p w14:paraId="4BA1D968"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Managed resourcing, budgets, Agile delivery processes, and SR&amp;ED / IRAP grant applications; served as technical liaison with partner agencies.</w:t>
      </w:r>
    </w:p>
    <w:p w14:paraId="1B1E3929" w14:textId="77777777" w:rsidR="00B241EA" w:rsidRDefault="00B241EA">
      <w:pPr>
        <w:pBdr>
          <w:bottom w:val="single" w:sz="6" w:space="0" w:color="1A1A1A"/>
        </w:pBdr>
        <w:spacing w:before="240" w:after="240"/>
      </w:pPr>
    </w:p>
    <w:p w14:paraId="71838D38" w14:textId="77777777" w:rsidR="00B241EA" w:rsidRDefault="00B241EA">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6545"/>
        <w:gridCol w:w="2805"/>
      </w:tblGrid>
      <w:tr w:rsidR="00B241EA" w14:paraId="46E5960D" w14:textId="77777777">
        <w:tblPrEx>
          <w:tblCellMar>
            <w:top w:w="0" w:type="dxa"/>
            <w:bottom w:w="0" w:type="dxa"/>
          </w:tblCellMar>
        </w:tblPrEx>
        <w:trPr>
          <w:tblHeader/>
        </w:trPr>
        <w:tc>
          <w:tcPr>
            <w:tcW w:w="3500" w:type="pct"/>
          </w:tcPr>
          <w:p w14:paraId="5ECD8771" w14:textId="77777777" w:rsidR="00B241EA" w:rsidRDefault="001521A1">
            <w:r>
              <w:rPr>
                <w:rFonts w:ascii="Calibri" w:eastAsia="Calibri" w:hAnsi="Calibri" w:cs="Calibri"/>
                <w:b/>
                <w:bCs/>
                <w:color w:val="1A1A1A"/>
                <w:sz w:val="21"/>
                <w:szCs w:val="21"/>
              </w:rPr>
              <w:t xml:space="preserve">Technical </w:t>
            </w:r>
            <w:proofErr w:type="gramStart"/>
            <w:r>
              <w:rPr>
                <w:rFonts w:ascii="Calibri" w:eastAsia="Calibri" w:hAnsi="Calibri" w:cs="Calibri"/>
                <w:b/>
                <w:bCs/>
                <w:color w:val="1A1A1A"/>
                <w:sz w:val="21"/>
                <w:szCs w:val="21"/>
              </w:rPr>
              <w:t>Architect</w:t>
            </w:r>
            <w:r>
              <w:rPr>
                <w:rFonts w:ascii="Calibri" w:eastAsia="Calibri" w:hAnsi="Calibri" w:cs="Calibri"/>
                <w:b/>
                <w:bCs/>
                <w:color w:val="1A1A1A"/>
                <w:sz w:val="20"/>
                <w:szCs w:val="20"/>
              </w:rPr>
              <w:t xml:space="preserve"> </w:t>
            </w:r>
            <w:r>
              <w:rPr>
                <w:rFonts w:ascii="Calibri" w:eastAsia="Calibri" w:hAnsi="Calibri" w:cs="Calibri"/>
                <w:b/>
                <w:bCs/>
                <w:color w:val="1A1A1A"/>
                <w:sz w:val="20"/>
                <w:szCs w:val="20"/>
              </w:rPr>
              <w:t xml:space="preserve"> </w:t>
            </w:r>
            <w:r>
              <w:rPr>
                <w:rFonts w:ascii="Calibri" w:eastAsia="Calibri" w:hAnsi="Calibri" w:cs="Calibri"/>
                <w:b/>
                <w:bCs/>
                <w:color w:val="2A4A7A"/>
                <w:sz w:val="20"/>
                <w:szCs w:val="20"/>
              </w:rPr>
              <w:t>Proximity</w:t>
            </w:r>
            <w:proofErr w:type="gramEnd"/>
            <w:r>
              <w:rPr>
                <w:rFonts w:ascii="Calibri" w:eastAsia="Calibri" w:hAnsi="Calibri" w:cs="Calibri"/>
                <w:b/>
                <w:bCs/>
                <w:color w:val="2A4A7A"/>
                <w:sz w:val="20"/>
                <w:szCs w:val="20"/>
              </w:rPr>
              <w:t xml:space="preserve"> Canada</w:t>
            </w:r>
            <w:r>
              <w:rPr>
                <w:rFonts w:ascii="Calibri" w:eastAsia="Calibri" w:hAnsi="Calibri" w:cs="Calibri"/>
                <w:b/>
                <w:bCs/>
                <w:color w:val="1A1A1A"/>
                <w:sz w:val="20"/>
                <w:szCs w:val="20"/>
              </w:rPr>
              <w:t xml:space="preserve"> </w:t>
            </w:r>
            <w:r>
              <w:rPr>
                <w:rFonts w:ascii="Calibri" w:eastAsia="Calibri" w:hAnsi="Calibri" w:cs="Calibri"/>
                <w:b/>
                <w:bCs/>
                <w:color w:val="555555"/>
                <w:sz w:val="18"/>
                <w:szCs w:val="18"/>
              </w:rPr>
              <w:t xml:space="preserve">  </w:t>
            </w:r>
            <w:proofErr w:type="gramStart"/>
            <w:r>
              <w:rPr>
                <w:rFonts w:ascii="Calibri" w:eastAsia="Calibri" w:hAnsi="Calibri" w:cs="Calibri"/>
                <w:b/>
                <w:bCs/>
                <w:color w:val="555555"/>
                <w:sz w:val="18"/>
                <w:szCs w:val="18"/>
              </w:rPr>
              <w:t>|  Toronto</w:t>
            </w:r>
            <w:proofErr w:type="gramEnd"/>
            <w:r>
              <w:rPr>
                <w:rFonts w:ascii="Calibri" w:eastAsia="Calibri" w:hAnsi="Calibri" w:cs="Calibri"/>
                <w:b/>
                <w:bCs/>
                <w:color w:val="555555"/>
                <w:sz w:val="18"/>
                <w:szCs w:val="18"/>
              </w:rPr>
              <w:t>, ON</w:t>
            </w:r>
          </w:p>
        </w:tc>
        <w:tc>
          <w:tcPr>
            <w:tcW w:w="1500" w:type="pct"/>
          </w:tcPr>
          <w:p w14:paraId="0DD1DBB0" w14:textId="77777777" w:rsidR="00B241EA" w:rsidRDefault="001521A1">
            <w:r>
              <w:rPr>
                <w:rFonts w:ascii="Calibri" w:eastAsia="Calibri" w:hAnsi="Calibri" w:cs="Calibri"/>
                <w:b/>
                <w:bCs/>
                <w:color w:val="555555"/>
                <w:sz w:val="18"/>
                <w:szCs w:val="18"/>
              </w:rPr>
              <w:t>Oct 2011 – Jul 2014</w:t>
            </w:r>
          </w:p>
        </w:tc>
      </w:tr>
    </w:tbl>
    <w:p w14:paraId="70BA4384" w14:textId="77777777" w:rsidR="00B241EA" w:rsidRDefault="00B241EA">
      <w:pPr>
        <w:spacing w:after="200"/>
      </w:pPr>
    </w:p>
    <w:p w14:paraId="34BD1424"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 xml:space="preserve">Architected Sitecore CMS-based campbellskitchen.com redesign for Campbell's US; designed </w:t>
      </w:r>
      <w:proofErr w:type="spellStart"/>
      <w:r>
        <w:rPr>
          <w:rFonts w:ascii="Calibri" w:eastAsia="Calibri" w:hAnsi="Calibri" w:cs="Calibri"/>
          <w:color w:val="1A1A1A"/>
          <w:sz w:val="19"/>
          <w:szCs w:val="19"/>
        </w:rPr>
        <w:t>Solr</w:t>
      </w:r>
      <w:proofErr w:type="spellEnd"/>
      <w:r>
        <w:rPr>
          <w:rFonts w:ascii="Calibri" w:eastAsia="Calibri" w:hAnsi="Calibri" w:cs="Calibri"/>
          <w:color w:val="1A1A1A"/>
          <w:sz w:val="19"/>
          <w:szCs w:val="19"/>
        </w:rPr>
        <w:t xml:space="preserve"> search engine reducing recipe search wait times significantly.</w:t>
      </w:r>
    </w:p>
    <w:p w14:paraId="54BA8637"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Architected Do Us a Flavour (Lay's Canada/USA) campaigns — the 2014 USA campaign generated 9M+ submissions.</w:t>
      </w:r>
    </w:p>
    <w:p w14:paraId="12BBBD5B"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Architected Pepsi Canada Xbox 360 contest application, benchmarked to support 90M pin code redemptions; delivered HP Graphics Solutions multi-source document repository with CMS and REST API integrations.</w:t>
      </w:r>
    </w:p>
    <w:p w14:paraId="475C0993"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Led project management, estimation, client presentations, and offshore team coordination; transitioned team to Git, Symfony2, and Jenkins CI.</w:t>
      </w:r>
    </w:p>
    <w:p w14:paraId="30E82B1D" w14:textId="77777777" w:rsidR="00B241EA" w:rsidRDefault="00B241EA">
      <w:pPr>
        <w:pBdr>
          <w:bottom w:val="single" w:sz="6" w:space="0" w:color="1A1A1A"/>
        </w:pBdr>
        <w:spacing w:before="240" w:after="240"/>
      </w:pPr>
    </w:p>
    <w:p w14:paraId="55CAC1CA" w14:textId="77777777" w:rsidR="00B241EA" w:rsidRDefault="00B241EA">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7199"/>
        <w:gridCol w:w="2151"/>
      </w:tblGrid>
      <w:tr w:rsidR="00B241EA" w14:paraId="5AD5284C" w14:textId="77777777">
        <w:tblPrEx>
          <w:tblCellMar>
            <w:top w:w="0" w:type="dxa"/>
            <w:bottom w:w="0" w:type="dxa"/>
          </w:tblCellMar>
        </w:tblPrEx>
        <w:trPr>
          <w:tblHeader/>
        </w:trPr>
        <w:tc>
          <w:tcPr>
            <w:tcW w:w="3850" w:type="pct"/>
          </w:tcPr>
          <w:p w14:paraId="5E793C72" w14:textId="77777777" w:rsidR="00B241EA" w:rsidRDefault="001521A1">
            <w:r>
              <w:rPr>
                <w:rFonts w:ascii="Calibri" w:eastAsia="Calibri" w:hAnsi="Calibri" w:cs="Calibri"/>
                <w:b/>
                <w:bCs/>
                <w:color w:val="1A1A1A"/>
                <w:sz w:val="21"/>
                <w:szCs w:val="21"/>
              </w:rPr>
              <w:t xml:space="preserve">Senior Web Developer &amp; Technology </w:t>
            </w:r>
            <w:proofErr w:type="gramStart"/>
            <w:r>
              <w:rPr>
                <w:rFonts w:ascii="Calibri" w:eastAsia="Calibri" w:hAnsi="Calibri" w:cs="Calibri"/>
                <w:b/>
                <w:bCs/>
                <w:color w:val="1A1A1A"/>
                <w:sz w:val="21"/>
                <w:szCs w:val="21"/>
              </w:rPr>
              <w:t>Lead</w:t>
            </w:r>
            <w:r>
              <w:rPr>
                <w:rFonts w:ascii="Calibri" w:eastAsia="Calibri" w:hAnsi="Calibri" w:cs="Calibri"/>
                <w:b/>
                <w:bCs/>
                <w:color w:val="1A1A1A"/>
                <w:sz w:val="20"/>
                <w:szCs w:val="20"/>
              </w:rPr>
              <w:t xml:space="preserve"> </w:t>
            </w:r>
            <w:r>
              <w:rPr>
                <w:rFonts w:ascii="Calibri" w:eastAsia="Calibri" w:hAnsi="Calibri" w:cs="Calibri"/>
                <w:b/>
                <w:bCs/>
                <w:color w:val="1A1A1A"/>
                <w:sz w:val="20"/>
                <w:szCs w:val="20"/>
              </w:rPr>
              <w:t xml:space="preserve"> </w:t>
            </w:r>
            <w:r>
              <w:rPr>
                <w:rFonts w:ascii="Calibri" w:eastAsia="Calibri" w:hAnsi="Calibri" w:cs="Calibri"/>
                <w:b/>
                <w:bCs/>
                <w:color w:val="2A4A7A"/>
                <w:sz w:val="20"/>
                <w:szCs w:val="20"/>
              </w:rPr>
              <w:t>Twist</w:t>
            </w:r>
            <w:proofErr w:type="gramEnd"/>
            <w:r>
              <w:rPr>
                <w:rFonts w:ascii="Calibri" w:eastAsia="Calibri" w:hAnsi="Calibri" w:cs="Calibri"/>
                <w:b/>
                <w:bCs/>
                <w:color w:val="2A4A7A"/>
                <w:sz w:val="20"/>
                <w:szCs w:val="20"/>
              </w:rPr>
              <w:t xml:space="preserve"> Image Multimedia (</w:t>
            </w:r>
            <w:proofErr w:type="gramStart"/>
            <w:r>
              <w:rPr>
                <w:rFonts w:ascii="Calibri" w:eastAsia="Calibri" w:hAnsi="Calibri" w:cs="Calibri"/>
                <w:b/>
                <w:bCs/>
                <w:color w:val="2A4A7A"/>
                <w:sz w:val="20"/>
                <w:szCs w:val="20"/>
              </w:rPr>
              <w:t>Mirum)</w:t>
            </w:r>
            <w:r>
              <w:rPr>
                <w:rFonts w:ascii="Calibri" w:eastAsia="Calibri" w:hAnsi="Calibri" w:cs="Calibri"/>
                <w:b/>
                <w:bCs/>
                <w:color w:val="1A1A1A"/>
                <w:sz w:val="20"/>
                <w:szCs w:val="20"/>
              </w:rPr>
              <w:t xml:space="preserve"> </w:t>
            </w:r>
            <w:r>
              <w:rPr>
                <w:rFonts w:ascii="Calibri" w:eastAsia="Calibri" w:hAnsi="Calibri" w:cs="Calibri"/>
                <w:b/>
                <w:bCs/>
                <w:color w:val="555555"/>
                <w:sz w:val="18"/>
                <w:szCs w:val="18"/>
              </w:rPr>
              <w:t xml:space="preserve">  |  Toronto</w:t>
            </w:r>
            <w:proofErr w:type="gramEnd"/>
            <w:r>
              <w:rPr>
                <w:rFonts w:ascii="Calibri" w:eastAsia="Calibri" w:hAnsi="Calibri" w:cs="Calibri"/>
                <w:b/>
                <w:bCs/>
                <w:color w:val="555555"/>
                <w:sz w:val="18"/>
                <w:szCs w:val="18"/>
              </w:rPr>
              <w:t>, ON</w:t>
            </w:r>
          </w:p>
        </w:tc>
        <w:tc>
          <w:tcPr>
            <w:tcW w:w="1150" w:type="pct"/>
          </w:tcPr>
          <w:p w14:paraId="6C10C7FD" w14:textId="77777777" w:rsidR="00B241EA" w:rsidRDefault="001521A1">
            <w:r>
              <w:rPr>
                <w:rFonts w:ascii="Calibri" w:eastAsia="Calibri" w:hAnsi="Calibri" w:cs="Calibri"/>
                <w:b/>
                <w:bCs/>
                <w:color w:val="555555"/>
                <w:sz w:val="18"/>
                <w:szCs w:val="18"/>
              </w:rPr>
              <w:t>Oct 2010 – Oct 2011</w:t>
            </w:r>
          </w:p>
        </w:tc>
      </w:tr>
    </w:tbl>
    <w:p w14:paraId="3E77E152" w14:textId="77777777" w:rsidR="00B241EA" w:rsidRDefault="00B241EA">
      <w:pPr>
        <w:spacing w:after="200"/>
      </w:pPr>
    </w:p>
    <w:p w14:paraId="180BEE58"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Led technology delivery for campaigns and CMS projects for Canadian Cancer Society, TD Bank, Dairy Farmers of Canada, Xbox, and Moneris.</w:t>
      </w:r>
    </w:p>
    <w:p w14:paraId="1CC35A7F"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Responsibilities spanned project management, technology strategy, team leadership, and client-facing presentations.</w:t>
      </w:r>
    </w:p>
    <w:p w14:paraId="0D737A47" w14:textId="77777777" w:rsidR="00B241EA" w:rsidRDefault="00B241EA">
      <w:pPr>
        <w:pBdr>
          <w:bottom w:val="single" w:sz="6" w:space="0" w:color="1A1A1A"/>
        </w:pBdr>
        <w:spacing w:before="240" w:after="240"/>
      </w:pPr>
    </w:p>
    <w:p w14:paraId="2226BBDA" w14:textId="77777777" w:rsidR="00B241EA" w:rsidRDefault="00B241EA">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5890"/>
        <w:gridCol w:w="3460"/>
      </w:tblGrid>
      <w:tr w:rsidR="00B241EA" w14:paraId="26F9243C" w14:textId="77777777">
        <w:tblPrEx>
          <w:tblCellMar>
            <w:top w:w="0" w:type="dxa"/>
            <w:bottom w:w="0" w:type="dxa"/>
          </w:tblCellMar>
        </w:tblPrEx>
        <w:trPr>
          <w:tblHeader/>
        </w:trPr>
        <w:tc>
          <w:tcPr>
            <w:tcW w:w="3150" w:type="pct"/>
          </w:tcPr>
          <w:p w14:paraId="43016DAA" w14:textId="77777777" w:rsidR="00B241EA" w:rsidRDefault="001521A1">
            <w:r>
              <w:rPr>
                <w:rFonts w:ascii="Calibri" w:eastAsia="Calibri" w:hAnsi="Calibri" w:cs="Calibri"/>
                <w:b/>
                <w:bCs/>
                <w:color w:val="1A1A1A"/>
                <w:sz w:val="21"/>
                <w:szCs w:val="21"/>
              </w:rPr>
              <w:t xml:space="preserve">Director of </w:t>
            </w:r>
            <w:proofErr w:type="gramStart"/>
            <w:r>
              <w:rPr>
                <w:rFonts w:ascii="Calibri" w:eastAsia="Calibri" w:hAnsi="Calibri" w:cs="Calibri"/>
                <w:b/>
                <w:bCs/>
                <w:color w:val="1A1A1A"/>
                <w:sz w:val="21"/>
                <w:szCs w:val="21"/>
              </w:rPr>
              <w:t>Development</w:t>
            </w:r>
            <w:r>
              <w:rPr>
                <w:rFonts w:ascii="Calibri" w:eastAsia="Calibri" w:hAnsi="Calibri" w:cs="Calibri"/>
                <w:b/>
                <w:bCs/>
                <w:color w:val="1A1A1A"/>
                <w:sz w:val="20"/>
                <w:szCs w:val="20"/>
              </w:rPr>
              <w:t xml:space="preserve"> </w:t>
            </w:r>
            <w:r>
              <w:rPr>
                <w:rFonts w:ascii="Calibri" w:eastAsia="Calibri" w:hAnsi="Calibri" w:cs="Calibri"/>
                <w:b/>
                <w:bCs/>
                <w:color w:val="1A1A1A"/>
                <w:sz w:val="20"/>
                <w:szCs w:val="20"/>
              </w:rPr>
              <w:t xml:space="preserve"> </w:t>
            </w:r>
            <w:r>
              <w:rPr>
                <w:rFonts w:ascii="Calibri" w:eastAsia="Calibri" w:hAnsi="Calibri" w:cs="Calibri"/>
                <w:b/>
                <w:bCs/>
                <w:color w:val="2A4A7A"/>
                <w:sz w:val="20"/>
                <w:szCs w:val="20"/>
              </w:rPr>
              <w:t>Workbay</w:t>
            </w:r>
            <w:proofErr w:type="gramEnd"/>
            <w:r>
              <w:rPr>
                <w:rFonts w:ascii="Calibri" w:eastAsia="Calibri" w:hAnsi="Calibri" w:cs="Calibri"/>
                <w:b/>
                <w:bCs/>
                <w:color w:val="2A4A7A"/>
                <w:sz w:val="20"/>
                <w:szCs w:val="20"/>
              </w:rPr>
              <w:t>.Net</w:t>
            </w:r>
          </w:p>
        </w:tc>
        <w:tc>
          <w:tcPr>
            <w:tcW w:w="1850" w:type="pct"/>
          </w:tcPr>
          <w:p w14:paraId="28D8F9F0" w14:textId="77777777" w:rsidR="00B241EA" w:rsidRDefault="001521A1">
            <w:r>
              <w:rPr>
                <w:rFonts w:ascii="Calibri" w:eastAsia="Calibri" w:hAnsi="Calibri" w:cs="Calibri"/>
                <w:b/>
                <w:bCs/>
                <w:color w:val="555555"/>
                <w:sz w:val="18"/>
                <w:szCs w:val="18"/>
              </w:rPr>
              <w:t>Aug 2014 – Dec 2014</w:t>
            </w:r>
          </w:p>
        </w:tc>
      </w:tr>
    </w:tbl>
    <w:p w14:paraId="3EEFE68B" w14:textId="77777777" w:rsidR="00B241EA" w:rsidRDefault="00B241EA">
      <w:pPr>
        <w:spacing w:after="200"/>
      </w:pPr>
    </w:p>
    <w:p w14:paraId="146C26AF"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Transitioned LMS product team to Symfony2 and AngularJS; optimized application performance on multi-tier AWS EC2 architecture.</w:t>
      </w:r>
    </w:p>
    <w:p w14:paraId="1414C64B"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Led requirements gathering for the second-generation Workbay.Net platform, including student learning and teacher reporting modules.</w:t>
      </w:r>
    </w:p>
    <w:p w14:paraId="7C07DFFE" w14:textId="77777777" w:rsidR="00B241EA" w:rsidRDefault="00B241EA" w:rsidP="002914D8">
      <w:pPr>
        <w:pBdr>
          <w:bottom w:val="single" w:sz="6" w:space="0" w:color="1A1A1A"/>
        </w:pBdr>
        <w:spacing w:before="240" w:after="240" w:line="360" w:lineRule="auto"/>
      </w:pPr>
    </w:p>
    <w:p w14:paraId="55290EAE" w14:textId="77777777" w:rsidR="00B241EA" w:rsidRDefault="00B241EA" w:rsidP="002914D8">
      <w:pPr>
        <w:spacing w:before="200" w:line="360" w:lineRule="auto"/>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6825"/>
        <w:gridCol w:w="2525"/>
      </w:tblGrid>
      <w:tr w:rsidR="00B241EA" w14:paraId="77F249E5" w14:textId="77777777">
        <w:tblPrEx>
          <w:tblCellMar>
            <w:top w:w="0" w:type="dxa"/>
            <w:bottom w:w="0" w:type="dxa"/>
          </w:tblCellMar>
        </w:tblPrEx>
        <w:trPr>
          <w:tblHeader/>
        </w:trPr>
        <w:tc>
          <w:tcPr>
            <w:tcW w:w="3650" w:type="pct"/>
          </w:tcPr>
          <w:p w14:paraId="23250959" w14:textId="77777777" w:rsidR="00B241EA" w:rsidRDefault="001521A1" w:rsidP="002914D8">
            <w:pPr>
              <w:spacing w:line="360" w:lineRule="auto"/>
            </w:pPr>
            <w:r>
              <w:rPr>
                <w:rFonts w:ascii="Calibri" w:eastAsia="Calibri" w:hAnsi="Calibri" w:cs="Calibri"/>
                <w:b/>
                <w:bCs/>
                <w:color w:val="1A1A1A"/>
                <w:sz w:val="21"/>
                <w:szCs w:val="21"/>
              </w:rPr>
              <w:t xml:space="preserve">Systems </w:t>
            </w:r>
            <w:proofErr w:type="gramStart"/>
            <w:r>
              <w:rPr>
                <w:rFonts w:ascii="Calibri" w:eastAsia="Calibri" w:hAnsi="Calibri" w:cs="Calibri"/>
                <w:b/>
                <w:bCs/>
                <w:color w:val="1A1A1A"/>
                <w:sz w:val="21"/>
                <w:szCs w:val="21"/>
              </w:rPr>
              <w:t>Engineer</w:t>
            </w:r>
            <w:r>
              <w:rPr>
                <w:rFonts w:ascii="Calibri" w:eastAsia="Calibri" w:hAnsi="Calibri" w:cs="Calibri"/>
                <w:b/>
                <w:bCs/>
                <w:color w:val="1A1A1A"/>
                <w:sz w:val="20"/>
                <w:szCs w:val="20"/>
              </w:rPr>
              <w:t xml:space="preserve"> </w:t>
            </w:r>
            <w:r>
              <w:rPr>
                <w:rFonts w:ascii="Calibri" w:eastAsia="Calibri" w:hAnsi="Calibri" w:cs="Calibri"/>
                <w:b/>
                <w:bCs/>
                <w:color w:val="1A1A1A"/>
                <w:sz w:val="20"/>
                <w:szCs w:val="20"/>
              </w:rPr>
              <w:t xml:space="preserve"> </w:t>
            </w:r>
            <w:r>
              <w:rPr>
                <w:rFonts w:ascii="Calibri" w:eastAsia="Calibri" w:hAnsi="Calibri" w:cs="Calibri"/>
                <w:b/>
                <w:bCs/>
                <w:color w:val="2A4A7A"/>
                <w:sz w:val="20"/>
                <w:szCs w:val="20"/>
              </w:rPr>
              <w:t>Engage</w:t>
            </w:r>
            <w:proofErr w:type="gramEnd"/>
            <w:r>
              <w:rPr>
                <w:rFonts w:ascii="Calibri" w:eastAsia="Calibri" w:hAnsi="Calibri" w:cs="Calibri"/>
                <w:b/>
                <w:bCs/>
                <w:color w:val="2A4A7A"/>
                <w:sz w:val="20"/>
                <w:szCs w:val="20"/>
              </w:rPr>
              <w:t xml:space="preserve"> Learning Systems Inc.</w:t>
            </w:r>
            <w:r>
              <w:rPr>
                <w:rFonts w:ascii="Calibri" w:eastAsia="Calibri" w:hAnsi="Calibri" w:cs="Calibri"/>
                <w:b/>
                <w:bCs/>
                <w:color w:val="1A1A1A"/>
                <w:sz w:val="20"/>
                <w:szCs w:val="20"/>
              </w:rPr>
              <w:t xml:space="preserve"> </w:t>
            </w:r>
            <w:r>
              <w:rPr>
                <w:rFonts w:ascii="Calibri" w:eastAsia="Calibri" w:hAnsi="Calibri" w:cs="Calibri"/>
                <w:b/>
                <w:bCs/>
                <w:color w:val="555555"/>
                <w:sz w:val="18"/>
                <w:szCs w:val="18"/>
              </w:rPr>
              <w:t xml:space="preserve">  </w:t>
            </w:r>
            <w:proofErr w:type="gramStart"/>
            <w:r>
              <w:rPr>
                <w:rFonts w:ascii="Calibri" w:eastAsia="Calibri" w:hAnsi="Calibri" w:cs="Calibri"/>
                <w:b/>
                <w:bCs/>
                <w:color w:val="555555"/>
                <w:sz w:val="18"/>
                <w:szCs w:val="18"/>
              </w:rPr>
              <w:t>|  Toronto</w:t>
            </w:r>
            <w:proofErr w:type="gramEnd"/>
            <w:r>
              <w:rPr>
                <w:rFonts w:ascii="Calibri" w:eastAsia="Calibri" w:hAnsi="Calibri" w:cs="Calibri"/>
                <w:b/>
                <w:bCs/>
                <w:color w:val="555555"/>
                <w:sz w:val="18"/>
                <w:szCs w:val="18"/>
              </w:rPr>
              <w:t>, ON</w:t>
            </w:r>
          </w:p>
        </w:tc>
        <w:tc>
          <w:tcPr>
            <w:tcW w:w="1350" w:type="pct"/>
          </w:tcPr>
          <w:p w14:paraId="5EE45088" w14:textId="77777777" w:rsidR="00B241EA" w:rsidRDefault="001521A1" w:rsidP="002914D8">
            <w:pPr>
              <w:spacing w:line="360" w:lineRule="auto"/>
            </w:pPr>
            <w:r>
              <w:rPr>
                <w:rFonts w:ascii="Calibri" w:eastAsia="Calibri" w:hAnsi="Calibri" w:cs="Calibri"/>
                <w:b/>
                <w:bCs/>
                <w:color w:val="555555"/>
                <w:sz w:val="18"/>
                <w:szCs w:val="18"/>
              </w:rPr>
              <w:t>Jan 2004 – Oct 2010</w:t>
            </w:r>
          </w:p>
        </w:tc>
      </w:tr>
    </w:tbl>
    <w:p w14:paraId="2509C3E3" w14:textId="77777777" w:rsidR="00B241EA" w:rsidRDefault="00B241EA" w:rsidP="002914D8">
      <w:pPr>
        <w:spacing w:after="200" w:line="360" w:lineRule="auto"/>
      </w:pPr>
    </w:p>
    <w:p w14:paraId="02ACB250"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Designed and built e-learning results tracking and survey systems for Walmart Canada LMS and Tire &amp; Lube Express programs.</w:t>
      </w:r>
    </w:p>
    <w:p w14:paraId="3641482F"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Engineered content management system integrated with Four Seasons' e-Knowledge Suite (Guest Experience Resource Portal).</w:t>
      </w:r>
    </w:p>
    <w:p w14:paraId="017AF17F"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Customized Moodle LMS for Home Depot US Anti-Money Laundering training; adapted Teva Canada (</w:t>
      </w:r>
      <w:proofErr w:type="spellStart"/>
      <w:r>
        <w:rPr>
          <w:rFonts w:ascii="Calibri" w:eastAsia="Calibri" w:hAnsi="Calibri" w:cs="Calibri"/>
          <w:color w:val="1A1A1A"/>
          <w:sz w:val="19"/>
          <w:szCs w:val="19"/>
        </w:rPr>
        <w:t>Novopharm</w:t>
      </w:r>
      <w:proofErr w:type="spellEnd"/>
      <w:r>
        <w:rPr>
          <w:rFonts w:ascii="Calibri" w:eastAsia="Calibri" w:hAnsi="Calibri" w:cs="Calibri"/>
          <w:color w:val="1A1A1A"/>
          <w:sz w:val="19"/>
          <w:szCs w:val="19"/>
        </w:rPr>
        <w:t>) platform for SCORM compliance and Health Canada audit requirements.</w:t>
      </w:r>
    </w:p>
    <w:p w14:paraId="648F4504" w14:textId="77777777" w:rsidR="00B241EA" w:rsidRDefault="001521A1">
      <w:pPr>
        <w:spacing w:after="80" w:line="324" w:lineRule="auto"/>
      </w:pPr>
      <w:r>
        <w:rPr>
          <w:rFonts w:ascii="Calibri" w:eastAsia="Calibri" w:hAnsi="Calibri" w:cs="Calibri"/>
          <w:b/>
          <w:bCs/>
          <w:color w:val="1A2A4A"/>
          <w:spacing w:val="24"/>
          <w:sz w:val="19"/>
          <w:szCs w:val="19"/>
        </w:rPr>
        <w:t>EDUCATION</w:t>
      </w:r>
    </w:p>
    <w:p w14:paraId="675786EA" w14:textId="77777777" w:rsidR="00B241EA" w:rsidRDefault="00B241EA">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7947"/>
        <w:gridCol w:w="1403"/>
      </w:tblGrid>
      <w:tr w:rsidR="00B241EA" w14:paraId="2392A96F" w14:textId="77777777">
        <w:tblPrEx>
          <w:tblCellMar>
            <w:top w:w="0" w:type="dxa"/>
            <w:bottom w:w="0" w:type="dxa"/>
          </w:tblCellMar>
        </w:tblPrEx>
        <w:trPr>
          <w:tblHeader/>
        </w:trPr>
        <w:tc>
          <w:tcPr>
            <w:tcW w:w="4250" w:type="pct"/>
          </w:tcPr>
          <w:p w14:paraId="23DFA9DC" w14:textId="77777777" w:rsidR="00B241EA" w:rsidRDefault="001521A1">
            <w:r>
              <w:rPr>
                <w:rFonts w:ascii="Calibri" w:eastAsia="Calibri" w:hAnsi="Calibri" w:cs="Calibri"/>
                <w:b/>
                <w:bCs/>
                <w:color w:val="1A1A1A"/>
                <w:sz w:val="20"/>
                <w:szCs w:val="20"/>
              </w:rPr>
              <w:t xml:space="preserve">Ryerson University (Toronto Metropolitan </w:t>
            </w:r>
            <w:proofErr w:type="gramStart"/>
            <w:r>
              <w:rPr>
                <w:rFonts w:ascii="Calibri" w:eastAsia="Calibri" w:hAnsi="Calibri" w:cs="Calibri"/>
                <w:b/>
                <w:bCs/>
                <w:color w:val="1A1A1A"/>
                <w:sz w:val="20"/>
                <w:szCs w:val="20"/>
              </w:rPr>
              <w:t xml:space="preserve">University) </w:t>
            </w:r>
            <w:r>
              <w:rPr>
                <w:rFonts w:ascii="Calibri" w:eastAsia="Calibri" w:hAnsi="Calibri" w:cs="Calibri"/>
                <w:b/>
                <w:bCs/>
                <w:color w:val="555555"/>
                <w:sz w:val="18"/>
                <w:szCs w:val="18"/>
              </w:rPr>
              <w:t xml:space="preserve">  |  Toronto</w:t>
            </w:r>
            <w:proofErr w:type="gramEnd"/>
            <w:r>
              <w:rPr>
                <w:rFonts w:ascii="Calibri" w:eastAsia="Calibri" w:hAnsi="Calibri" w:cs="Calibri"/>
                <w:b/>
                <w:bCs/>
                <w:color w:val="555555"/>
                <w:sz w:val="18"/>
                <w:szCs w:val="18"/>
              </w:rPr>
              <w:t xml:space="preserve">, </w:t>
            </w:r>
            <w:proofErr w:type="gramStart"/>
            <w:r>
              <w:rPr>
                <w:rFonts w:ascii="Calibri" w:eastAsia="Calibri" w:hAnsi="Calibri" w:cs="Calibri"/>
                <w:b/>
                <w:bCs/>
                <w:color w:val="555555"/>
                <w:sz w:val="18"/>
                <w:szCs w:val="18"/>
              </w:rPr>
              <w:t>ON</w:t>
            </w:r>
            <w:r>
              <w:rPr>
                <w:rFonts w:ascii="Calibri" w:eastAsia="Calibri" w:hAnsi="Calibri" w:cs="Calibri"/>
                <w:b/>
                <w:bCs/>
                <w:color w:val="1A1A1A"/>
                <w:sz w:val="20"/>
                <w:szCs w:val="20"/>
              </w:rPr>
              <w:t xml:space="preserve"> </w:t>
            </w:r>
            <w:r>
              <w:rPr>
                <w:rFonts w:ascii="Calibri" w:eastAsia="Calibri" w:hAnsi="Calibri" w:cs="Calibri"/>
                <w:b/>
                <w:bCs/>
                <w:color w:val="1A1A1A"/>
                <w:sz w:val="20"/>
                <w:szCs w:val="20"/>
              </w:rPr>
              <w:t xml:space="preserve"> </w:t>
            </w:r>
            <w:r>
              <w:rPr>
                <w:rFonts w:ascii="Calibri" w:eastAsia="Calibri" w:hAnsi="Calibri" w:cs="Calibri"/>
                <w:b/>
                <w:bCs/>
                <w:color w:val="3A3A3A"/>
                <w:sz w:val="19"/>
                <w:szCs w:val="19"/>
              </w:rPr>
              <w:t>New</w:t>
            </w:r>
            <w:proofErr w:type="gramEnd"/>
            <w:r>
              <w:rPr>
                <w:rFonts w:ascii="Calibri" w:eastAsia="Calibri" w:hAnsi="Calibri" w:cs="Calibri"/>
                <w:b/>
                <w:bCs/>
                <w:color w:val="3A3A3A"/>
                <w:sz w:val="19"/>
                <w:szCs w:val="19"/>
              </w:rPr>
              <w:t xml:space="preserve"> Media — Interface Design &amp; New Media History and Theory</w:t>
            </w:r>
          </w:p>
        </w:tc>
        <w:tc>
          <w:tcPr>
            <w:tcW w:w="750" w:type="pct"/>
          </w:tcPr>
          <w:p w14:paraId="56841125" w14:textId="77777777" w:rsidR="00B241EA" w:rsidRDefault="001521A1">
            <w:r>
              <w:rPr>
                <w:rFonts w:ascii="Calibri" w:eastAsia="Calibri" w:hAnsi="Calibri" w:cs="Calibri"/>
                <w:b/>
                <w:bCs/>
                <w:color w:val="555555"/>
                <w:sz w:val="18"/>
                <w:szCs w:val="18"/>
              </w:rPr>
              <w:t>1999 – 2002</w:t>
            </w:r>
          </w:p>
        </w:tc>
      </w:tr>
    </w:tbl>
    <w:p w14:paraId="4C7ADDDE" w14:textId="77777777" w:rsidR="00B241EA" w:rsidRDefault="00B241EA">
      <w:pPr>
        <w:spacing w:after="200"/>
      </w:pPr>
    </w:p>
    <w:p w14:paraId="209E5F9F" w14:textId="77777777" w:rsidR="00B241EA" w:rsidRDefault="001521A1">
      <w:pPr>
        <w:spacing w:after="80" w:line="324" w:lineRule="auto"/>
      </w:pPr>
      <w:r>
        <w:rPr>
          <w:rFonts w:ascii="Calibri" w:eastAsia="Calibri" w:hAnsi="Calibri" w:cs="Calibri"/>
          <w:b/>
          <w:bCs/>
          <w:color w:val="1A2A4A"/>
          <w:spacing w:val="24"/>
          <w:sz w:val="19"/>
          <w:szCs w:val="19"/>
        </w:rPr>
        <w:t>CERTIFICATIONS &amp; PROFESSIONAL DEVELOPMENT</w:t>
      </w:r>
    </w:p>
    <w:p w14:paraId="76C725A8"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ITIL4 Foundation</w:t>
      </w:r>
    </w:p>
    <w:p w14:paraId="50FCA87F"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Atlassian Suite: Jira, Jira Service Management, Confluence (current focus)</w:t>
      </w:r>
    </w:p>
    <w:p w14:paraId="07D903C1" w14:textId="77777777" w:rsidR="00B241EA" w:rsidRDefault="001521A1" w:rsidP="002914D8">
      <w:pPr>
        <w:pStyle w:val="ListParagraph"/>
        <w:numPr>
          <w:ilvl w:val="0"/>
          <w:numId w:val="1"/>
        </w:numPr>
        <w:spacing w:after="60" w:line="360" w:lineRule="auto"/>
      </w:pPr>
      <w:r>
        <w:rPr>
          <w:rFonts w:ascii="Calibri" w:eastAsia="Calibri" w:hAnsi="Calibri" w:cs="Calibri"/>
          <w:color w:val="1A1A1A"/>
          <w:sz w:val="19"/>
          <w:szCs w:val="19"/>
        </w:rPr>
        <w:t>Generative AI Applications in Business</w:t>
      </w:r>
    </w:p>
    <w:sectPr w:rsidR="00B241EA">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2B2BE7"/>
    <w:multiLevelType w:val="hybridMultilevel"/>
    <w:tmpl w:val="0B9837CA"/>
    <w:lvl w:ilvl="0" w:tplc="B1C8C8AA">
      <w:start w:val="1"/>
      <w:numFmt w:val="decimal"/>
      <w:lvlText w:val="%1."/>
      <w:lvlJc w:val="left"/>
      <w:pPr>
        <w:ind w:left="720" w:hanging="360"/>
      </w:pPr>
    </w:lvl>
    <w:lvl w:ilvl="1" w:tplc="B42A5F38">
      <w:numFmt w:val="decimal"/>
      <w:lvlText w:val=""/>
      <w:lvlJc w:val="left"/>
    </w:lvl>
    <w:lvl w:ilvl="2" w:tplc="4C62CD08">
      <w:numFmt w:val="decimal"/>
      <w:lvlText w:val=""/>
      <w:lvlJc w:val="left"/>
    </w:lvl>
    <w:lvl w:ilvl="3" w:tplc="42EE0B54">
      <w:numFmt w:val="decimal"/>
      <w:lvlText w:val=""/>
      <w:lvlJc w:val="left"/>
    </w:lvl>
    <w:lvl w:ilvl="4" w:tplc="00C61BE6">
      <w:numFmt w:val="decimal"/>
      <w:lvlText w:val=""/>
      <w:lvlJc w:val="left"/>
    </w:lvl>
    <w:lvl w:ilvl="5" w:tplc="90E66DAC">
      <w:numFmt w:val="decimal"/>
      <w:lvlText w:val=""/>
      <w:lvlJc w:val="left"/>
    </w:lvl>
    <w:lvl w:ilvl="6" w:tplc="B9A8F8EE">
      <w:numFmt w:val="decimal"/>
      <w:lvlText w:val=""/>
      <w:lvlJc w:val="left"/>
    </w:lvl>
    <w:lvl w:ilvl="7" w:tplc="6CC8944A">
      <w:numFmt w:val="decimal"/>
      <w:lvlText w:val=""/>
      <w:lvlJc w:val="left"/>
    </w:lvl>
    <w:lvl w:ilvl="8" w:tplc="85C8C086">
      <w:numFmt w:val="decimal"/>
      <w:lvlText w:val=""/>
      <w:lvlJc w:val="left"/>
    </w:lvl>
  </w:abstractNum>
  <w:abstractNum w:abstractNumId="1" w15:restartNumberingAfterBreak="0">
    <w:nsid w:val="6D22121E"/>
    <w:multiLevelType w:val="hybridMultilevel"/>
    <w:tmpl w:val="354E7DE8"/>
    <w:lvl w:ilvl="0" w:tplc="CE0640BE">
      <w:start w:val="1"/>
      <w:numFmt w:val="bullet"/>
      <w:lvlText w:val="●"/>
      <w:lvlJc w:val="left"/>
      <w:pPr>
        <w:ind w:left="720" w:hanging="360"/>
      </w:pPr>
    </w:lvl>
    <w:lvl w:ilvl="1" w:tplc="03345A5C">
      <w:start w:val="1"/>
      <w:numFmt w:val="bullet"/>
      <w:lvlText w:val="○"/>
      <w:lvlJc w:val="left"/>
      <w:pPr>
        <w:ind w:left="1440" w:hanging="360"/>
      </w:pPr>
    </w:lvl>
    <w:lvl w:ilvl="2" w:tplc="162AB0BC">
      <w:start w:val="1"/>
      <w:numFmt w:val="bullet"/>
      <w:lvlText w:val="■"/>
      <w:lvlJc w:val="left"/>
      <w:pPr>
        <w:ind w:left="2160" w:hanging="360"/>
      </w:pPr>
    </w:lvl>
    <w:lvl w:ilvl="3" w:tplc="A10E2B5A">
      <w:start w:val="1"/>
      <w:numFmt w:val="bullet"/>
      <w:lvlText w:val="●"/>
      <w:lvlJc w:val="left"/>
      <w:pPr>
        <w:ind w:left="2880" w:hanging="360"/>
      </w:pPr>
    </w:lvl>
    <w:lvl w:ilvl="4" w:tplc="888E51A0">
      <w:start w:val="1"/>
      <w:numFmt w:val="bullet"/>
      <w:lvlText w:val="○"/>
      <w:lvlJc w:val="left"/>
      <w:pPr>
        <w:ind w:left="3600" w:hanging="360"/>
      </w:pPr>
    </w:lvl>
    <w:lvl w:ilvl="5" w:tplc="F8044EAC">
      <w:start w:val="1"/>
      <w:numFmt w:val="bullet"/>
      <w:lvlText w:val="■"/>
      <w:lvlJc w:val="left"/>
      <w:pPr>
        <w:ind w:left="4320" w:hanging="360"/>
      </w:pPr>
    </w:lvl>
    <w:lvl w:ilvl="6" w:tplc="8C3E985A">
      <w:start w:val="1"/>
      <w:numFmt w:val="bullet"/>
      <w:lvlText w:val="●"/>
      <w:lvlJc w:val="left"/>
      <w:pPr>
        <w:ind w:left="5040" w:hanging="360"/>
      </w:pPr>
    </w:lvl>
    <w:lvl w:ilvl="7" w:tplc="58063E36">
      <w:start w:val="1"/>
      <w:numFmt w:val="bullet"/>
      <w:lvlText w:val="●"/>
      <w:lvlJc w:val="left"/>
      <w:pPr>
        <w:ind w:left="5760" w:hanging="360"/>
      </w:pPr>
    </w:lvl>
    <w:lvl w:ilvl="8" w:tplc="E920FA4C">
      <w:start w:val="1"/>
      <w:numFmt w:val="bullet"/>
      <w:lvlText w:val="●"/>
      <w:lvlJc w:val="left"/>
      <w:pPr>
        <w:ind w:left="6480" w:hanging="360"/>
      </w:pPr>
    </w:lvl>
  </w:abstractNum>
  <w:num w:numId="1" w16cid:durableId="15862639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1EA"/>
    <w:rsid w:val="001521A1"/>
    <w:rsid w:val="002914D8"/>
    <w:rsid w:val="00524E70"/>
    <w:rsid w:val="007230A5"/>
    <w:rsid w:val="00896CD8"/>
    <w:rsid w:val="00B241EA"/>
    <w:rsid w:val="00C72B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050BB"/>
  <w15:docId w15:val="{479435CE-DD3B-42B0-85BB-3ED0432BE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semiHidden/>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1341</TotalTime>
  <Pages>4</Pages>
  <Words>925</Words>
  <Characters>6051</Characters>
  <Application>Microsoft Office Word</Application>
  <DocSecurity>0</DocSecurity>
  <Lines>137</Lines>
  <Paragraphs>78</Paragraphs>
  <ScaleCrop>false</ScaleCrop>
  <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h88ijMMcEv5JRGgQrP2zu</dc:title>
  <dc:creator>Un-named</dc:creator>
  <dc:description>Generated document</dc:description>
  <cp:lastModifiedBy>Radek Zajkowski</cp:lastModifiedBy>
  <cp:revision>5</cp:revision>
  <dcterms:created xsi:type="dcterms:W3CDTF">2026-08-19T15:18:00Z</dcterms:created>
  <dcterms:modified xsi:type="dcterms:W3CDTF">2026-08-20T13:39:00Z</dcterms:modified>
</cp:coreProperties>
</file>