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26" w:rsidRDefault="001A7A26" w:rsidP="001A7A26">
      <w:pPr>
        <w:pStyle w:val="NormalWeb"/>
        <w:rPr>
          <w:color w:val="000000"/>
        </w:rPr>
      </w:pPr>
      <w:r>
        <w:rPr>
          <w:color w:val="000000"/>
        </w:rPr>
        <w:t>6) Initial Basic Solution in Transportation problem using Row Minimum method in Linear Programming.</w:t>
      </w:r>
    </w:p>
    <w:p w:rsidR="001A7A26" w:rsidRDefault="001A7A26" w:rsidP="001A7A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PRE</w:t>
      </w:r>
      <w:r w:rsidRPr="007029F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SESSION-6</w:t>
      </w:r>
    </w:p>
    <w:p w:rsidR="001A7A26" w:rsidRPr="007029F6" w:rsidRDefault="001A7A26" w:rsidP="001A7A26">
      <w:pPr>
        <w:spacing w:before="150"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1:</w:t>
      </w:r>
    </w:p>
    <w:p w:rsidR="001A7A26" w:rsidRDefault="001A7A26" w:rsidP="001A7A26">
      <w:pPr>
        <w:pStyle w:val="NormalWeb"/>
        <w:jc w:val="both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Consider the transportation problem presented in the following table: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1"/>
        <w:gridCol w:w="1676"/>
        <w:gridCol w:w="1352"/>
        <w:gridCol w:w="1268"/>
        <w:gridCol w:w="2029"/>
      </w:tblGrid>
      <w:tr w:rsidR="001A7A26" w:rsidTr="00B91419">
        <w:tc>
          <w:tcPr>
            <w:tcW w:w="0" w:type="auto"/>
            <w:vMerge w:val="restart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Factory </w:t>
            </w:r>
          </w:p>
        </w:tc>
        <w:tc>
          <w:tcPr>
            <w:tcW w:w="0" w:type="auto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Warehouse</w:t>
            </w:r>
          </w:p>
        </w:tc>
        <w:tc>
          <w:tcPr>
            <w:tcW w:w="0" w:type="auto"/>
            <w:vMerge w:val="restart"/>
            <w:tcMar>
              <w:top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Supply</w:t>
            </w:r>
          </w:p>
        </w:tc>
      </w:tr>
      <w:tr w:rsidR="001A7A26" w:rsidTr="00B91419">
        <w:tc>
          <w:tcPr>
            <w:tcW w:w="0" w:type="auto"/>
            <w:vMerge/>
            <w:vAlign w:val="center"/>
            <w:hideMark/>
          </w:tcPr>
          <w:p w:rsidR="001A7A26" w:rsidRDefault="001A7A26" w:rsidP="00B9141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</w:t>
            </w:r>
            <w:r>
              <w:rPr>
                <w:b/>
                <w:b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</w:t>
            </w:r>
            <w:r>
              <w:rPr>
                <w:b/>
                <w:b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tcMar>
              <w:top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</w:t>
            </w:r>
            <w:r>
              <w:rPr>
                <w:b/>
                <w:bCs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1A7A26" w:rsidRDefault="001A7A26" w:rsidP="00B9141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A7A26" w:rsidTr="00B91419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tcMar>
              <w:top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tcMar>
              <w:top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tcMar>
              <w:top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</w:tr>
      <w:tr w:rsidR="001A7A26" w:rsidTr="00B91419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tcMar>
              <w:top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Mar>
              <w:top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sz w:val="24"/>
                <w:szCs w:val="24"/>
              </w:rPr>
            </w:pPr>
            <w:r>
              <w:t>18</w:t>
            </w:r>
          </w:p>
        </w:tc>
        <w:tc>
          <w:tcPr>
            <w:tcW w:w="0" w:type="auto"/>
            <w:tcMar>
              <w:top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sz w:val="24"/>
                <w:szCs w:val="24"/>
              </w:rPr>
            </w:pPr>
            <w:r>
              <w:t>160</w:t>
            </w:r>
          </w:p>
        </w:tc>
      </w:tr>
      <w:tr w:rsidR="001A7A26" w:rsidTr="00B91419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sz w:val="24"/>
                <w:szCs w:val="24"/>
              </w:rPr>
            </w:pPr>
            <w:r>
              <w:t>26</w:t>
            </w:r>
          </w:p>
        </w:tc>
        <w:tc>
          <w:tcPr>
            <w:tcW w:w="0" w:type="auto"/>
            <w:tcMar>
              <w:top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sz w:val="24"/>
                <w:szCs w:val="24"/>
              </w:rPr>
            </w:pPr>
            <w:r>
              <w:t>24</w:t>
            </w:r>
          </w:p>
        </w:tc>
        <w:tc>
          <w:tcPr>
            <w:tcW w:w="0" w:type="auto"/>
            <w:tcMar>
              <w:top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tcMar>
              <w:top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sz w:val="24"/>
                <w:szCs w:val="24"/>
              </w:rPr>
            </w:pPr>
            <w:r>
              <w:t>90</w:t>
            </w:r>
          </w:p>
        </w:tc>
      </w:tr>
      <w:tr w:rsidR="001A7A26" w:rsidTr="00B91419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Demand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sz w:val="24"/>
                <w:szCs w:val="24"/>
              </w:rPr>
            </w:pPr>
            <w:r>
              <w:t>180</w:t>
            </w:r>
          </w:p>
        </w:tc>
        <w:tc>
          <w:tcPr>
            <w:tcW w:w="0" w:type="auto"/>
            <w:tcMar>
              <w:top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sz w:val="24"/>
                <w:szCs w:val="24"/>
              </w:rPr>
            </w:pPr>
            <w:r>
              <w:t>120</w:t>
            </w:r>
          </w:p>
        </w:tc>
        <w:tc>
          <w:tcPr>
            <w:tcW w:w="0" w:type="auto"/>
            <w:tcMar>
              <w:top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0" w:type="auto"/>
            <w:tcMar>
              <w:top w:w="120" w:type="dxa"/>
              <w:bottom w:w="120" w:type="dxa"/>
              <w:right w:w="120" w:type="dxa"/>
            </w:tcMar>
            <w:hideMark/>
          </w:tcPr>
          <w:p w:rsidR="001A7A26" w:rsidRDefault="001A7A26" w:rsidP="00B91419">
            <w:pPr>
              <w:jc w:val="center"/>
              <w:rPr>
                <w:sz w:val="24"/>
                <w:szCs w:val="24"/>
              </w:rPr>
            </w:pPr>
            <w:r>
              <w:t>450</w:t>
            </w:r>
          </w:p>
        </w:tc>
      </w:tr>
    </w:tbl>
    <w:p w:rsidR="001A7A26" w:rsidRDefault="001A7A26" w:rsidP="001A7A26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:rsidR="001A7A26" w:rsidRPr="0025165E" w:rsidRDefault="001A7A26" w:rsidP="001A7A26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IN</w:t>
      </w:r>
      <w:r w:rsidRPr="0025165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SESSION-6</w:t>
      </w:r>
    </w:p>
    <w:p w:rsidR="001A7A26" w:rsidRPr="00F8236F" w:rsidRDefault="001A7A26" w:rsidP="001A7A26">
      <w:pPr>
        <w:spacing w:before="150"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1:</w:t>
      </w:r>
    </w:p>
    <w:p w:rsidR="001A7A26" w:rsidRDefault="001A7A26" w:rsidP="001A7A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36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Ushodaya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departmental store has</w:t>
      </w:r>
      <w:r w:rsidRPr="00F8236F">
        <w:rPr>
          <w:rFonts w:ascii="Times New Roman" w:eastAsia="Times New Roman" w:hAnsi="Times New Roman" w:cs="Times New Roman"/>
          <w:sz w:val="24"/>
          <w:szCs w:val="24"/>
        </w:rPr>
        <w:t xml:space="preserve"> three plants located throughout a s</w:t>
      </w:r>
      <w:r>
        <w:rPr>
          <w:rFonts w:ascii="Times New Roman" w:eastAsia="Times New Roman" w:hAnsi="Times New Roman" w:cs="Times New Roman"/>
          <w:sz w:val="24"/>
          <w:szCs w:val="24"/>
        </w:rPr>
        <w:t>tate with production capacity 80, 60 and 70 kilo grams of rice</w:t>
      </w:r>
      <w:r w:rsidRPr="00F8236F">
        <w:rPr>
          <w:rFonts w:ascii="Times New Roman" w:eastAsia="Times New Roman" w:hAnsi="Times New Roman" w:cs="Times New Roman"/>
          <w:sz w:val="24"/>
          <w:szCs w:val="24"/>
        </w:rPr>
        <w:t>. Each day the firm must furnish its four retail shops R</w:t>
      </w:r>
      <w:r w:rsidRPr="00F8236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8236F">
        <w:rPr>
          <w:rFonts w:ascii="Times New Roman" w:eastAsia="Times New Roman" w:hAnsi="Times New Roman" w:cs="Times New Roman"/>
          <w:sz w:val="24"/>
          <w:szCs w:val="24"/>
        </w:rPr>
        <w:t>, R</w:t>
      </w:r>
      <w:r w:rsidRPr="00F8236F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8236F">
        <w:rPr>
          <w:rFonts w:ascii="Times New Roman" w:eastAsia="Times New Roman" w:hAnsi="Times New Roman" w:cs="Times New Roman"/>
          <w:sz w:val="24"/>
          <w:szCs w:val="24"/>
        </w:rPr>
        <w:t>, R</w:t>
      </w:r>
      <w:r w:rsidRPr="00F8236F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8236F">
        <w:rPr>
          <w:rFonts w:ascii="Times New Roman" w:eastAsia="Times New Roman" w:hAnsi="Times New Roman" w:cs="Times New Roman"/>
          <w:sz w:val="24"/>
          <w:szCs w:val="24"/>
        </w:rPr>
        <w:t>, &amp; R</w:t>
      </w:r>
      <w:r w:rsidRPr="00F8236F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at least 40, 60, 50, and 6</w:t>
      </w:r>
      <w:r w:rsidRPr="00F8236F">
        <w:rPr>
          <w:rFonts w:ascii="Times New Roman" w:eastAsia="Times New Roman" w:hAnsi="Times New Roman" w:cs="Times New Roman"/>
          <w:sz w:val="24"/>
          <w:szCs w:val="24"/>
        </w:rPr>
        <w:t>0 gallons respectively. The transportation costs (in Rs.) are given below.</w:t>
      </w:r>
    </w:p>
    <w:p w:rsidR="001A7A26" w:rsidRDefault="001A7A26" w:rsidP="001A7A26">
      <w:pPr>
        <w:spacing w:before="100" w:beforeAutospacing="1" w:after="100" w:afterAutospacing="1" w:line="240" w:lineRule="auto"/>
        <w:jc w:val="both"/>
        <w:rPr>
          <w:color w:val="00000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8"/>
        <w:gridCol w:w="965"/>
        <w:gridCol w:w="965"/>
        <w:gridCol w:w="965"/>
        <w:gridCol w:w="965"/>
        <w:gridCol w:w="2368"/>
      </w:tblGrid>
      <w:tr w:rsidR="001A7A26" w:rsidRPr="00600DDA" w:rsidTr="00B91419">
        <w:tc>
          <w:tcPr>
            <w:tcW w:w="0" w:type="auto"/>
            <w:vMerge w:val="restart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</w:pPr>
            <w:r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>Store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>Retail Shop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 xml:space="preserve">Supply </w:t>
            </w:r>
          </w:p>
        </w:tc>
      </w:tr>
      <w:tr w:rsidR="001A7A26" w:rsidRPr="00600DDA" w:rsidTr="00B91419">
        <w:tc>
          <w:tcPr>
            <w:tcW w:w="0" w:type="auto"/>
            <w:vMerge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Merge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</w:pPr>
          </w:p>
        </w:tc>
      </w:tr>
      <w:tr w:rsidR="001A7A26" w:rsidRPr="00600DDA" w:rsidTr="00B91419"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>
              <w:rPr>
                <w:rFonts w:ascii="Raleway" w:eastAsia="Times New Roman" w:hAnsi="Raleway" w:cs="Times New Roman"/>
                <w:sz w:val="24"/>
                <w:szCs w:val="24"/>
              </w:rPr>
              <w:t>8</w:t>
            </w:r>
            <w:r w:rsidRPr="00600DDA">
              <w:rPr>
                <w:rFonts w:ascii="Raleway" w:eastAsia="Times New Roman" w:hAnsi="Raleway" w:cs="Times New Roman"/>
                <w:sz w:val="24"/>
                <w:szCs w:val="24"/>
              </w:rPr>
              <w:t xml:space="preserve">0 </w:t>
            </w:r>
          </w:p>
        </w:tc>
      </w:tr>
      <w:tr w:rsidR="001A7A26" w:rsidRPr="00600DDA" w:rsidTr="00B91419"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>
              <w:rPr>
                <w:rFonts w:ascii="Raleway" w:eastAsia="Times New Roman" w:hAnsi="Raleway" w:cs="Times New Roman"/>
                <w:sz w:val="24"/>
                <w:szCs w:val="24"/>
              </w:rPr>
              <w:t>60</w:t>
            </w:r>
          </w:p>
        </w:tc>
      </w:tr>
      <w:tr w:rsidR="001A7A26" w:rsidRPr="00600DDA" w:rsidTr="00B91419"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>
              <w:rPr>
                <w:rFonts w:ascii="Raleway" w:eastAsia="Times New Roman" w:hAnsi="Raleway" w:cs="Times New Roman"/>
                <w:sz w:val="24"/>
                <w:szCs w:val="24"/>
              </w:rPr>
              <w:t>70</w:t>
            </w:r>
            <w:r w:rsidRPr="00600DDA">
              <w:rPr>
                <w:rFonts w:ascii="Raleway" w:eastAsia="Times New Roman" w:hAnsi="Raleway" w:cs="Times New Roman"/>
                <w:sz w:val="24"/>
                <w:szCs w:val="24"/>
              </w:rPr>
              <w:t xml:space="preserve"> </w:t>
            </w:r>
          </w:p>
        </w:tc>
      </w:tr>
      <w:tr w:rsidR="001A7A26" w:rsidRPr="00600DDA" w:rsidTr="00B91419"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 xml:space="preserve">Demand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>
              <w:rPr>
                <w:rFonts w:ascii="Raleway" w:eastAsia="Times New Roman" w:hAnsi="Raleway" w:cs="Times New Roman"/>
                <w:sz w:val="24"/>
                <w:szCs w:val="24"/>
              </w:rPr>
              <w:t>4</w:t>
            </w:r>
            <w:r w:rsidRPr="00600DDA">
              <w:rPr>
                <w:rFonts w:ascii="Raleway" w:eastAsia="Times New Roman" w:hAnsi="Raleway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>
              <w:rPr>
                <w:rFonts w:ascii="Raleway" w:eastAsia="Times New Roman" w:hAnsi="Raleway" w:cs="Times New Roman"/>
                <w:sz w:val="24"/>
                <w:szCs w:val="24"/>
              </w:rPr>
              <w:t>6</w:t>
            </w:r>
            <w:r w:rsidRPr="00600DDA">
              <w:rPr>
                <w:rFonts w:ascii="Raleway" w:eastAsia="Times New Roman" w:hAnsi="Raleway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sz w:val="24"/>
                <w:szCs w:val="24"/>
              </w:rPr>
              <w:t xml:space="preserve">60 </w:t>
            </w:r>
          </w:p>
        </w:tc>
        <w:tc>
          <w:tcPr>
            <w:tcW w:w="0" w:type="auto"/>
            <w:vAlign w:val="center"/>
            <w:hideMark/>
          </w:tcPr>
          <w:p w:rsidR="001A7A26" w:rsidRPr="00600DDA" w:rsidRDefault="001A7A26" w:rsidP="00B91419">
            <w:pPr>
              <w:spacing w:after="0" w:line="240" w:lineRule="auto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600DDA">
              <w:rPr>
                <w:rFonts w:ascii="Raleway" w:eastAsia="Times New Roman" w:hAnsi="Raleway" w:cs="Times New Roman"/>
                <w:sz w:val="24"/>
                <w:szCs w:val="24"/>
              </w:rPr>
              <w:t> </w:t>
            </w:r>
          </w:p>
        </w:tc>
      </w:tr>
    </w:tbl>
    <w:p w:rsidR="001A7A26" w:rsidRDefault="001A7A26" w:rsidP="001A7A2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A7A26" w:rsidRDefault="001A7A26" w:rsidP="001A7A2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A7A26" w:rsidRDefault="001A7A26" w:rsidP="001A7A26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:rsidR="001A7A26" w:rsidRPr="00350EB4" w:rsidRDefault="001A7A26" w:rsidP="001A7A26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50EB4">
        <w:rPr>
          <w:rFonts w:ascii="Times New Roman" w:hAnsi="Times New Roman" w:cs="Times New Roman"/>
          <w:b/>
          <w:color w:val="000000"/>
          <w:sz w:val="32"/>
          <w:szCs w:val="32"/>
        </w:rPr>
        <w:t>POST SESSION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-6</w:t>
      </w:r>
    </w:p>
    <w:p w:rsidR="001A7A26" w:rsidRPr="005E397D" w:rsidRDefault="001A7A26" w:rsidP="001A7A26">
      <w:pPr>
        <w:pStyle w:val="NormalWeb"/>
        <w:spacing w:before="0" w:beforeAutospacing="0" w:after="150" w:afterAutospacing="0" w:line="450" w:lineRule="atLeast"/>
        <w:rPr>
          <w:b/>
          <w:color w:val="000000"/>
          <w:sz w:val="28"/>
          <w:szCs w:val="28"/>
        </w:rPr>
      </w:pPr>
      <w:r w:rsidRPr="005E397D">
        <w:rPr>
          <w:b/>
          <w:color w:val="000000"/>
          <w:sz w:val="28"/>
          <w:szCs w:val="28"/>
        </w:rPr>
        <w:lastRenderedPageBreak/>
        <w:t>Problem</w:t>
      </w:r>
      <w:r>
        <w:rPr>
          <w:b/>
          <w:color w:val="000000"/>
          <w:sz w:val="28"/>
          <w:szCs w:val="28"/>
        </w:rPr>
        <w:t xml:space="preserve"> 1</w:t>
      </w:r>
      <w:r w:rsidRPr="005E397D">
        <w:rPr>
          <w:b/>
          <w:color w:val="000000"/>
          <w:sz w:val="28"/>
          <w:szCs w:val="28"/>
        </w:rPr>
        <w:t xml:space="preserve">: </w:t>
      </w:r>
    </w:p>
    <w:p w:rsidR="001A7A26" w:rsidRPr="00331DE4" w:rsidRDefault="001A7A26" w:rsidP="001A7A26">
      <w:pPr>
        <w:spacing w:after="75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331DE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The distribution manager of a company needs to minimize global transport costs between a set of three factories (supply points) S1, S2, and S3, and a set of four distributors (demand points) D1, D2, D3, and D4.  The following table shows the transportation cost from each supply point to every demand point, the supply of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t</w:t>
      </w:r>
      <w:r w:rsidRPr="00331DE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he product at the supply points, and the demand of the product at the demand points</w:t>
      </w:r>
    </w:p>
    <w:p w:rsidR="001A7A26" w:rsidRPr="007F13D2" w:rsidRDefault="001A7A26" w:rsidP="001A7A26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9"/>
        <w:gridCol w:w="493"/>
        <w:gridCol w:w="493"/>
        <w:gridCol w:w="493"/>
        <w:gridCol w:w="493"/>
        <w:gridCol w:w="944"/>
      </w:tblGrid>
      <w:tr w:rsidR="001A7A26" w:rsidRPr="003A2586" w:rsidTr="00B914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F/D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Supply</w:t>
            </w:r>
          </w:p>
        </w:tc>
      </w:tr>
      <w:tr w:rsidR="001A7A26" w:rsidRPr="003A2586" w:rsidTr="00B914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A7A26" w:rsidRPr="003A2586" w:rsidTr="00B914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A7A26" w:rsidRPr="003A2586" w:rsidTr="00B914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1A7A26" w:rsidRPr="003A2586" w:rsidTr="00B914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Demand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586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A7A26" w:rsidRPr="003A2586" w:rsidRDefault="001A7A26" w:rsidP="00B9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</w:tbl>
    <w:p w:rsidR="001A7A26" w:rsidRDefault="001A7A26" w:rsidP="001A7A26">
      <w:pPr>
        <w:rPr>
          <w:color w:val="000000"/>
        </w:rPr>
      </w:pPr>
    </w:p>
    <w:p w:rsidR="002D0A74" w:rsidRDefault="002D0A74"/>
    <w:sectPr w:rsidR="002D0A74" w:rsidSect="0029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1A7A26"/>
    <w:rsid w:val="001A7A26"/>
    <w:rsid w:val="00291C78"/>
    <w:rsid w:val="002D0A74"/>
    <w:rsid w:val="00953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A2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7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7A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</dc:creator>
  <cp:lastModifiedBy>Veena</cp:lastModifiedBy>
  <cp:revision>1</cp:revision>
  <dcterms:created xsi:type="dcterms:W3CDTF">2020-10-19T02:34:00Z</dcterms:created>
  <dcterms:modified xsi:type="dcterms:W3CDTF">2020-10-19T02:35:00Z</dcterms:modified>
</cp:coreProperties>
</file>