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  <w:jc w:val="center"/>
      </w:pPr>
      <w:r>
        <w:rPr>
          <w:b/>
          <w:i w:val="0"/>
          <w:sz w:val="28"/>
          <w:u w:val="none"/>
          <w:rFonts w:ascii="Times New Roman" w:hAnsi="Times New Roman" w:cs="Times New Roman"/>
        </w:rPr>
        <w:t>CYBERABAD MUNICIPAL CORPORATION</w:t>
      </w:r>
    </w:p>
    <w:p>
      <w:pPr>
        <w:spacing w:before="0" w:after="0" w:line="240" w:lineRule="auto"/>
        <w:jc w:val="right"/>
      </w:pPr>
      <w:r>
        <w:rPr>
          <w:b/>
          <w:i w:val="0"/>
          <w:sz w:val="19"/>
          <w:u w:val="none"/>
          <w:rFonts w:ascii="Times New Roman" w:hAnsi="Times New Roman" w:cs="Times New Roman"/>
        </w:rPr>
        <w:t>O/o the Superintending Engineer (M)</w:t>
      </w:r>
    </w:p>
    <w:p>
      <w:pPr>
        <w:spacing w:before="0" w:after="0" w:line="240" w:lineRule="auto"/>
        <w:jc w:val="right"/>
      </w:pPr>
      <w:r>
        <w:rPr>
          <w:b/>
          <w:i w:val="0"/>
          <w:sz w:val="19"/>
          <w:u w:val="none"/>
          <w:rFonts w:ascii="Times New Roman" w:hAnsi="Times New Roman" w:cs="Times New Roman"/>
        </w:rPr>
        <w:t>{{Zone}} Zone, CMC, Hyderabad.</w:t>
      </w:r>
    </w:p>
    <w:p>
      <w:pPr>
        <w:spacing w:after="20" w:before="20"/>
        <w:pBdr>
          <w:bottom w:val="dotted" w:sz="12" w:space="1" w:color="000000"/>
        </w:pBdr>
      </w:pPr>
    </w:p>
    <w:p>
      <w:pPr>
        <w:spacing w:before="0" w:after="60" w:line="240" w:lineRule="auto"/>
        <w:jc w:val="center"/>
      </w:pPr>
      <w:r>
        <w:rPr>
          <w:b w:val="0"/>
          <w:i w:val="0"/>
          <w:u w:val="single"/>
          <w:rFonts w:ascii="Times New Roman" w:hAnsi="Times New Roman" w:cs="Times New Roman"/>
        </w:rPr>
        <w:t>LETTER OF ACCEPTANCE</w:t>
      </w:r>
    </w:p>
    <w:p>
      <w:pPr>
        <w:spacing w:before="0" w:after="0" w:line="240" w:lineRule="auto"/>
      </w:pPr>
      <w:r>
        <w:rPr>
          <w:b w:val="0"/>
          <w:i w:val="0"/>
          <w:u w:val="none"/>
          <w:rFonts w:ascii="Times New Roman" w:hAnsi="Times New Roman" w:cs="Times New Roman"/>
        </w:rPr>
        <w:t>To</w:t>
      </w:r>
    </w:p>
    <w:p>
      <w:pPr>
        <w:spacing w:before="0" w:after="0" w:line="240" w:lineRule="auto"/>
      </w:pPr>
      <w:r>
        <w:rPr>
          <w:b/>
          <w:i w:val="0"/>
          <w:u w:val="none"/>
          <w:rFonts w:ascii="Times New Roman" w:hAnsi="Times New Roman" w:cs="Times New Roman"/>
        </w:rPr>
        <w:t>{{Agency Name}},</w:t>
      </w:r>
    </w:p>
    <w:p>
      <w:pPr>
        <w:spacing w:before="0" w:after="0" w:line="240" w:lineRule="auto"/>
      </w:pPr>
      <w:r>
        <w:rPr>
          <w:b/>
          <w:i w:val="0"/>
          <w:u w:val="none"/>
          <w:rFonts w:ascii="Times New Roman" w:hAnsi="Times New Roman" w:cs="Times New Roman"/>
        </w:rPr>
        <w:t>{{Address of the agency}}</w:t>
      </w:r>
    </w:p>
    <w:p>
      <w:pPr>
        <w:spacing w:before="0" w:after="60" w:line="240" w:lineRule="auto"/>
      </w:pPr>
      <w:r>
        <w:rPr>
          <w:b/>
          <w:i w:val="0"/>
          <w:u w:val="none"/>
          <w:rFonts w:ascii="Times New Roman" w:hAnsi="Times New Roman" w:cs="Times New Roman"/>
        </w:rPr>
        <w:t>Ph: {{agency phone number}}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7200"/>
        <w:gridCol w:w="2592"/>
      </w:tblGrid>
      <w:tr>
        <w:tc>
          <w:tcPr>
            <w:tcW w:type="dxa" w:w="7200"/>
          </w:tcPr>
          <w:p>
            <w:pPr>
              <w:spacing w:after="0" w:before="0"/>
            </w:pPr>
            <w:r>
              <w:rPr>
                <w:rFonts w:ascii="Times New Roman" w:hAnsi="Times New Roman"/>
                <w:b/>
                <w:sz w:val="22"/>
              </w:rPr>
              <w:t>LOA  Letter No.    {{Item No}}/SE/{{Zone Abbr}}/CMC/{{Financial year}}</w:t>
            </w:r>
          </w:p>
        </w:tc>
        <w:tc>
          <w:tcPr>
            <w:tcW w:type="dxa" w:w="2592"/>
          </w:tcPr>
          <w:p>
            <w:pPr>
              <w:spacing w:after="0" w:before="0"/>
              <w:jc w:val="right"/>
            </w:pPr>
            <w:r>
              <w:rPr>
                <w:rFonts w:ascii="Times New Roman" w:hAnsi="Times New Roman"/>
                <w:b/>
                <w:sz w:val="22"/>
              </w:rPr>
              <w:t>Date:  {{LOA Date}}</w:t>
            </w:r>
          </w:p>
        </w:tc>
      </w:tr>
    </w:tbl>
    <w:p>
      <w:pPr>
        <w:spacing w:before="0" w:after="60" w:line="240" w:lineRule="auto"/>
      </w:pPr>
      <w:r>
        <w:rPr>
          <w:b w:val="0"/>
          <w:i w:val="0"/>
          <w:u w:val="none"/>
          <w:rFonts w:ascii="Times New Roman" w:hAnsi="Times New Roman" w:cs="Times New Roman"/>
        </w:rPr>
        <w:t>Gentleman,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1008"/>
        <w:gridCol w:w="8784"/>
      </w:tblGrid>
      <w:tr>
        <w:tc>
          <w:tcPr>
            <w:tcW w:type="dxa" w:w="1008"/>
          </w:tcPr>
          <w:p>
            <w:pPr>
              <w:spacing w:after="0" w:before="0"/>
            </w:pPr>
            <w:r>
              <w:rPr>
                <w:rFonts w:ascii="Times New Roman" w:hAnsi="Times New Roman"/>
                <w:b/>
                <w:sz w:val="22"/>
              </w:rPr>
              <w:t>Sub: -</w:t>
            </w:r>
          </w:p>
        </w:tc>
        <w:tc>
          <w:tcPr>
            <w:tcW w:type="dxa" w:w="8784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CMC – SE-(M) – {{Zone Abbr}} – “{{Name of the work}}” {{Reserved Tag}}- Intimation Letter issued – Reg.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1008"/>
        <w:gridCol w:w="504"/>
        <w:gridCol w:w="8280"/>
      </w:tblGrid>
      <w:tr>
        <w:tc>
          <w:tcPr>
            <w:tcW w:type="dxa" w:w="1008"/>
          </w:tcPr>
          <w:p>
            <w:pPr>
              <w:spacing w:after="0" w:before="0"/>
            </w:pPr>
            <w:r>
              <w:rPr>
                <w:rFonts w:ascii="Times New Roman" w:hAnsi="Times New Roman"/>
                <w:b/>
                <w:sz w:val="22"/>
              </w:rPr>
              <w:t>Ref: -</w:t>
            </w:r>
          </w:p>
        </w:tc>
        <w:tc>
          <w:tcPr>
            <w:tcW w:type="dxa" w:w="504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1.</w:t>
            </w:r>
          </w:p>
        </w:tc>
        <w:tc>
          <w:tcPr>
            <w:tcW w:type="dxa" w:w="8280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NIT No. {{Nit No}} (Item No.{{Item No}}), Date: {{Nit Date}}. Tender ID:{{Tender ID}}</w:t>
            </w:r>
          </w:p>
        </w:tc>
      </w:tr>
      <w:tr>
        <w:tc>
          <w:tcPr>
            <w:tcW w:type="dxa" w:w="1008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</w:r>
          </w:p>
        </w:tc>
        <w:tc>
          <w:tcPr>
            <w:tcW w:type="dxa" w:w="504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2)</w:t>
            </w:r>
          </w:p>
        </w:tc>
        <w:tc>
          <w:tcPr>
            <w:tcW w:type="dxa" w:w="8280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Price bid opened on dated: {{Price Bid opening date}}</w:t>
            </w:r>
          </w:p>
        </w:tc>
      </w:tr>
    </w:tbl>
    <w:p>
      <w:pPr>
        <w:spacing w:before="0" w:after="20" w:line="240" w:lineRule="auto"/>
        <w:jc w:val="center"/>
      </w:pPr>
      <w:r>
        <w:rPr>
          <w:b w:val="0"/>
          <w:i w:val="0"/>
          <w:u w:val="none"/>
          <w:rFonts w:ascii="Times New Roman" w:hAnsi="Times New Roman" w:cs="Times New Roman"/>
        </w:rPr>
        <w:t>*** ** ***</w:t>
      </w:r>
    </w:p>
    <w:tbl>
      <w:tblPr>
        <w:tblW w:type="auto" w:w="0"/>
        <w:tblLayout w:type="fixed"/>
        <w:tblLook w:firstColumn="1" w:firstRow="1" w:lastColumn="0" w:lastRow="0" w:noHBand="0" w:noVBand="1" w:val="04A0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3168"/>
        <w:gridCol w:w="432"/>
        <w:gridCol w:w="3312"/>
      </w:tblGrid>
      <w:tr>
        <w:tc>
          <w:tcPr>
            <w:tcW w:type="dxa" w:w="3168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Admin. Sanction Value</w:t>
            </w:r>
          </w:p>
        </w:tc>
        <w:tc>
          <w:tcPr>
            <w:tcW w:type="dxa" w:w="432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:</w:t>
            </w:r>
          </w:p>
        </w:tc>
        <w:tc>
          <w:tcPr>
            <w:tcW w:type="dxa" w:w="3312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Rs.{{Admin Sanction Value}}</w:t>
            </w:r>
          </w:p>
        </w:tc>
      </w:tr>
      <w:tr>
        <w:tc>
          <w:tcPr>
            <w:tcW w:type="dxa" w:w="3168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Estimate Contract Value</w:t>
            </w:r>
          </w:p>
        </w:tc>
        <w:tc>
          <w:tcPr>
            <w:tcW w:type="dxa" w:w="432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:</w:t>
            </w:r>
          </w:p>
        </w:tc>
        <w:tc>
          <w:tcPr>
            <w:tcW w:type="dxa" w:w="3312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Rs.{{ECV}}</w:t>
            </w:r>
          </w:p>
        </w:tc>
      </w:tr>
      <w:tr>
        <w:tc>
          <w:tcPr>
            <w:tcW w:type="dxa" w:w="3168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Tender Percentage</w:t>
            </w:r>
          </w:p>
        </w:tc>
        <w:tc>
          <w:tcPr>
            <w:tcW w:type="dxa" w:w="432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:</w:t>
            </w:r>
          </w:p>
        </w:tc>
        <w:tc>
          <w:tcPr>
            <w:tcW w:type="dxa" w:w="3312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(-) {{Tender Percentage}} % Less</w:t>
            </w:r>
          </w:p>
        </w:tc>
      </w:tr>
      <w:tr>
        <w:tc>
          <w:tcPr>
            <w:tcW w:type="dxa" w:w="3168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Tender Contract Value</w:t>
            </w:r>
          </w:p>
        </w:tc>
        <w:tc>
          <w:tcPr>
            <w:tcW w:type="dxa" w:w="432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:</w:t>
            </w:r>
          </w:p>
        </w:tc>
        <w:tc>
          <w:tcPr>
            <w:tcW w:type="dxa" w:w="3312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Rs.{{Contract Amount}}</w:t>
            </w:r>
          </w:p>
        </w:tc>
      </w:tr>
      <w:tr>
        <w:tc>
          <w:tcPr>
            <w:tcW w:type="dxa" w:w="3168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Period of Completion</w:t>
            </w:r>
          </w:p>
        </w:tc>
        <w:tc>
          <w:tcPr>
            <w:tcW w:type="dxa" w:w="432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:</w:t>
            </w:r>
          </w:p>
        </w:tc>
        <w:tc>
          <w:tcPr>
            <w:tcW w:type="dxa" w:w="3312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{{Period of Completion}}</w:t>
            </w:r>
          </w:p>
        </w:tc>
      </w:tr>
    </w:tbl>
    <w:p>
      <w:pPr>
        <w:spacing w:before="0" w:after="60" w:line="240" w:lineRule="auto"/>
        <w:jc w:val="both"/>
      </w:pPr>
      <w:r>
        <w:rPr>
          <w:b w:val="0"/>
          <w:i w:val="0"/>
          <w:u w:val="none"/>
          <w:rFonts w:ascii="Times New Roman" w:hAnsi="Times New Roman" w:cs="Times New Roman"/>
        </w:rPr>
        <w:t>Your are here by informed that your bid for execution of the work “{{Name of the work}}” @ (-) {{Tender Percentage}}% Less on estimate contract value i.e., Rs.{{ECV}} with a tender Contract Value of Rs.{{Contract Amount}} (Rupees {{Contract In Words}} only) is accepted as per the terms and condition of Tender Document.</w:t>
      </w:r>
    </w:p>
    <w:p>
      <w:pPr>
        <w:spacing w:before="0" w:after="20" w:line="240" w:lineRule="auto"/>
        <w:jc w:val="both"/>
      </w:pPr>
      <w:r>
        <w:rPr>
          <w:b w:val="0"/>
          <w:i w:val="0"/>
          <w:u w:val="none"/>
          <w:rFonts w:ascii="Times New Roman" w:hAnsi="Times New Roman" w:cs="Times New Roman"/>
        </w:rPr>
        <w:t>You are here by requested to attend personally in to this office within 7 (seven) days for concluding the agreement with the following documents as follows.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720"/>
        <w:gridCol w:w="9072"/>
      </w:tblGrid>
      <w:tr>
        <w:tc>
          <w:tcPr>
            <w:tcW w:type="dxa" w:w="720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(i)</w:t>
            </w:r>
          </w:p>
        </w:tc>
        <w:tc>
          <w:tcPr>
            <w:tcW w:type="dxa" w:w="9072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Balance 1½% EMD {{EMD Clause}} in favor of Commissioner, CMC in shape of Online Payment/ BG from any Nationalized / Scheduled Commercial Banks. The validity of EMD BG should be 27 Months (i.e.,3+ 24 = 27 Months) including defect liability period.</w:t>
            </w:r>
          </w:p>
        </w:tc>
      </w:tr>
      <w:tr>
        <w:tc>
          <w:tcPr>
            <w:tcW w:type="dxa" w:w="720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(ii)</w:t>
            </w:r>
          </w:p>
        </w:tc>
        <w:tc>
          <w:tcPr>
            <w:tcW w:type="dxa" w:w="9072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e-Corpus Fund for Rs.{{E-Corpus}}/- in favour of Managing Director, TSTS, Hyd online payment receipt should submit at the time of entering the Agreement. Non-Judicial stamp paper worth of Rs.100/- and produce the original certificates of the uploaded documents for verification.</w:t>
            </w:r>
          </w:p>
        </w:tc>
      </w:tr>
      <w:tr>
        <w:tc>
          <w:tcPr>
            <w:tcW w:type="dxa" w:w="720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(iii)</w:t>
            </w:r>
          </w:p>
        </w:tc>
        <w:tc>
          <w:tcPr>
            <w:tcW w:type="dxa" w:w="9072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A MoU with an owned/leased RMC plant must be submitted, along with a self-declaration on ₹100 non-judicial stamp paper, proof of ownership/lease of the RMC plant as per the given proforma, and the QCI certificate.</w:t>
            </w:r>
          </w:p>
        </w:tc>
      </w:tr>
      <w:tr>
        <w:tc>
          <w:tcPr>
            <w:tcW w:type="dxa" w:w="720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(iv)</w:t>
            </w:r>
          </w:p>
        </w:tc>
        <w:tc>
          <w:tcPr>
            <w:tcW w:type="dxa" w:w="9072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Programme for completion of the work within 3 (Three) Months.</w:t>
            </w:r>
          </w:p>
        </w:tc>
      </w:tr>
      <w:tr>
        <w:tc>
          <w:tcPr>
            <w:tcW w:type="dxa" w:w="720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(v)</w:t>
            </w:r>
          </w:p>
        </w:tc>
        <w:tc>
          <w:tcPr>
            <w:tcW w:type="dxa" w:w="9072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The work shall be commenced and completed within the agreement period.</w:t>
            </w:r>
          </w:p>
        </w:tc>
      </w:tr>
    </w:tbl>
    <w:p>
      <w:pPr>
        <w:spacing w:before="20" w:after="60" w:line="240" w:lineRule="auto"/>
        <w:jc w:val="both"/>
      </w:pPr>
      <w:r>
        <w:rPr>
          <w:b w:val="0"/>
          <w:i w:val="0"/>
          <w:u w:val="none"/>
          <w:rFonts w:ascii="Times New Roman" w:hAnsi="Times New Roman" w:cs="Times New Roman"/>
        </w:rPr>
        <w:t>The agreement shall be concluded within 7 Days. Please note that if you fail to conclude the agreement within 7 Days, suitable action will be initiated as per APDSS and Clauses of Terms &amp; Conditions of Tender document and you may be recommended for suspending from participating in the tenders on e-procurement platform for a period of 3 years as per GO Ms No 174 of I&amp;CAD (PW-Reforms) Department Dated 01-09-2008, subject to modification accepted by competent authority. No EoAT shall be sanctioned for in-ordinate delays as per clause – 59 (APDSS).</w:t>
      </w:r>
    </w:p>
    <w:p>
      <w:pPr>
        <w:spacing w:before="0" w:after="60" w:line="240" w:lineRule="auto"/>
        <w:jc w:val="both"/>
      </w:pPr>
      <w:r>
        <w:rPr>
          <w:b w:val="0"/>
          <w:i w:val="0"/>
          <w:u w:val="none"/>
          <w:rFonts w:ascii="Times New Roman" w:hAnsi="Times New Roman" w:cs="Times New Roman"/>
        </w:rPr>
        <w:t xml:space="preserve">Note: </w:t>
      </w:r>
      <w:r>
        <w:rPr>
          <w:b w:val="0"/>
          <w:i w:val="0"/>
          <w:u w:val="none"/>
          <w:rFonts w:ascii="Times New Roman" w:hAnsi="Times New Roman" w:cs="Times New Roman"/>
        </w:rPr>
        <w:t>The LOA issuance is subject to verification of certain documents uploaded by you online and incase if any document is found to be false or  fabricated ,the 1% EMD paid online shall be forfeited and necessary action shall be initiated as per the rules in vogue.</w:t>
      </w:r>
    </w:p>
    <w:p>
      <w:pPr>
        <w:spacing w:before="0" w:after="60" w:line="240" w:lineRule="auto"/>
      </w:pPr>
      <w:r>
        <w:rPr>
          <w:b w:val="0"/>
          <w:i w:val="0"/>
          <w:u w:val="none"/>
          <w:rFonts w:ascii="Times New Roman" w:hAnsi="Times New Roman" w:cs="Times New Roman"/>
        </w:rPr>
        <w:t xml:space="preserve"/>
      </w:r>
    </w:p>
    <w:p>
      <w:pPr>
        <w:spacing w:before="0" w:after="60" w:line="240" w:lineRule="auto"/>
      </w:pPr>
      <w:r>
        <w:rPr>
          <w:b w:val="0"/>
          <w:i w:val="0"/>
          <w:u w:val="none"/>
          <w:rFonts w:ascii="Times New Roman" w:hAnsi="Times New Roman" w:cs="Times New Roman"/>
        </w:rPr>
        <w:t xml:space="preserve"/>
      </w:r>
    </w:p>
    <w:p>
      <w:pPr>
        <w:spacing w:before="20" w:after="0" w:line="240" w:lineRule="auto"/>
        <w:jc w:val="right"/>
      </w:pPr>
      <w:r>
        <w:rPr>
          <w:b/>
          <w:i w:val="0"/>
          <w:u w:val="none"/>
          <w:rFonts w:ascii="Times New Roman" w:hAnsi="Times New Roman" w:cs="Times New Roman"/>
        </w:rPr>
        <w:t>Superintending Engineer,</w:t>
      </w:r>
    </w:p>
    <w:p>
      <w:pPr>
        <w:spacing w:before="0" w:after="60" w:line="240" w:lineRule="auto"/>
        <w:jc w:val="right"/>
      </w:pPr>
      <w:r>
        <w:rPr>
          <w:b/>
          <w:i w:val="0"/>
          <w:u w:val="none"/>
          <w:rFonts w:ascii="Times New Roman" w:hAnsi="Times New Roman" w:cs="Times New Roman"/>
        </w:rPr>
        <w:t>{{Zone}} Zone, CMC.</w:t>
      </w:r>
    </w:p>
    <w:p>
      <w:pPr>
        <w:spacing w:before="0" w:after="0" w:line="240" w:lineRule="auto"/>
      </w:pPr>
      <w:r>
        <w:rPr>
          <w:b w:val="0"/>
          <w:i w:val="0"/>
          <w:u w:val="none"/>
          <w:rFonts w:ascii="Times New Roman" w:hAnsi="Times New Roman" w:cs="Times New Roman"/>
        </w:rPr>
        <w:t>Copy to: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48"/>
        <w:gridCol w:w="9144"/>
      </w:tblGrid>
      <w:tr>
        <w:tc>
          <w:tcPr>
            <w:tcW w:type="dxa" w:w="648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1)</w:t>
            </w:r>
          </w:p>
        </w:tc>
        <w:tc>
          <w:tcPr>
            <w:tcW w:type="dxa" w:w="9144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The Deputy Commissioner, {{Circle Line}}, {{Zone Abbr}}, CMC.</w:t>
            </w:r>
          </w:p>
        </w:tc>
      </w:tr>
      <w:tr>
        <w:tc>
          <w:tcPr>
            <w:tcW w:type="dxa" w:w="648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2)</w:t>
            </w:r>
          </w:p>
        </w:tc>
        <w:tc>
          <w:tcPr>
            <w:tcW w:type="dxa" w:w="9144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The Executive Engineer, {{Circle Line}}, CMC to take necessary action on the following: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1296"/>
        <w:gridCol w:w="576"/>
        <w:gridCol w:w="7920"/>
      </w:tblGrid>
      <w:tr>
        <w:tc>
          <w:tcPr>
            <w:tcW w:type="dxa" w:w="1296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</w:r>
          </w:p>
        </w:tc>
        <w:tc>
          <w:tcPr>
            <w:tcW w:type="dxa" w:w="576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i.</w:t>
            </w:r>
          </w:p>
        </w:tc>
        <w:tc>
          <w:tcPr>
            <w:tcW w:type="dxa" w:w="7920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Shall ensure that the taxes to be deducted are carefully recovered from the bidder.</w:t>
            </w:r>
          </w:p>
        </w:tc>
      </w:tr>
      <w:tr>
        <w:tc>
          <w:tcPr>
            <w:tcW w:type="dxa" w:w="1296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</w:r>
          </w:p>
        </w:tc>
        <w:tc>
          <w:tcPr>
            <w:tcW w:type="dxa" w:w="576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ii.</w:t>
            </w:r>
          </w:p>
        </w:tc>
        <w:tc>
          <w:tcPr>
            <w:tcW w:type="dxa" w:w="7920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As per the instructions of the Commissioner, CMC get the periodical inspection with QCC Wing to ensure the quality of the work.</w:t>
            </w:r>
          </w:p>
        </w:tc>
      </w:tr>
    </w:tbl>
    <w:sectPr w:rsidR="00FC693F" w:rsidRPr="0006063C" w:rsidSect="00034616">
      <w:pgSz w:w="12240" w:h="20160"/>
      <w:pgMar w:top="648" w:right="1224" w:bottom="64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