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02" w:type="dxa"/>
        <w:tblInd w:w="0" w:type="dxa"/>
        <w:tblLayout w:type="fixed"/>
        <w:tblLook w:val="04A0" w:firstRow="1" w:lastRow="0" w:firstColumn="1" w:lastColumn="0" w:noHBand="0" w:noVBand="1"/>
      </w:tblPr>
      <w:tblGrid>
        <w:gridCol w:w="9602"/>
      </w:tblGrid>
      <w:tr>
        <w:trPr>
          <w:trHeight w:val="1000"/>
        </w:trPr>
        <w:tc>
          <w:tcPr>
            <w:tcW w:w="9602"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096000" cy="783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Mmc4"/>
                          <a:stretch>
                            <a:fillRect/>
                          </a:stretch>
                        </pic:blipFill>
                        <pic:spPr>
                          <a:xfrm>
                            <a:off x="0" y="0"/>
                            <a:ext cx="6096000" cy="783443"/>
                          </a:xfrm>
                          <a:prstGeom prst="rect">
                            <a:avLst/>
                          </a:prstGeom>
                        </pic:spPr>
                      </pic:pic>
                    </a:graphicData>
                  </a:graphic>
                </wp:inline>
              </w:drawing>
            </w:r>
          </w:p>
        </w:tc>
      </w:tr>
    </w:tbl>
    <w:p>
      <w:pPr>
        <w:spacing w:before="0" w:after="0" w:line="240" w:lineRule="auto"/>
        <w:rPr>
          <w:sz w:val="6"/>
          <w:szCs w:val="6"/>
        </w:rPr>
      </w:pP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 xml:space="preserve">A.B.No:________/ EE/{{Circle}}/CIRCLE-{{CNO}}/{{ZoneAbbr}}/{{Corporation}}/{{Financialyear}}             Dt: {{Agreement Date}}</w:t>
      </w:r>
    </w:p>
    <w:p>
      <w:pPr>
        <w:pStyle w:val="Normal"/>
        <w:rPr>
          <w:b/>
          <w:sz w:val="2"/>
          <w:szCs w:val="2"/>
        </w:rPr>
      </w:pPr>
      <w:r>
        <w:rPr>
          <w:b/>
          <w:sz w:val="2"/>
          <w:szCs w:val="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600"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tbl>
      <w:tblPr>
        <w:tblW w:w="9602" w:type="dxa"/>
        <w:tblInd w:w="0" w:type="dxa"/>
        <w:tblLayout w:type="fixed"/>
        <w:tblLook w:val="04A0" w:firstRow="1" w:lastRow="0" w:firstColumn="1" w:lastColumn="0" w:noHBand="0" w:noVBand="1"/>
      </w:tblPr>
      <w:tblGrid>
        <w:gridCol w:w="9602"/>
      </w:tblGrid>
      <w:tr>
        <w:trPr>
          <w:trHeight w:val="1000"/>
        </w:trPr>
        <w:tc>
          <w:tcPr>
            <w:tcW w:w="9602"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096000" cy="783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Mmc4"/>
                          <a:stretch>
                            <a:fillRect/>
                          </a:stretch>
                        </pic:blipFill>
                        <pic:spPr>
                          <a:xfrm>
                            <a:off x="0" y="0"/>
                            <a:ext cx="6096000" cy="783443"/>
                          </a:xfrm>
                          <a:prstGeom prst="rect">
                            <a:avLst/>
                          </a:prstGeom>
                        </pic:spPr>
                      </pic:pic>
                    </a:graphicData>
                  </a:graphic>
                </wp:inline>
              </w:drawing>
            </w:r>
          </w:p>
        </w:tc>
      </w:tr>
    </w:tbl>
    <w:p>
      <w:pPr>
        <w:spacing w:before="0" w:after="0" w:line="240" w:lineRule="auto"/>
        <w:rPr>
          <w:sz w:val="6"/>
          <w:szCs w:val="6"/>
        </w:rPr>
      </w:pP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G.H.M.C./{{Corporation}}.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(a)Bidders need to contact the Executive Engineer, {{Corporation}}., for any information on e-Procurement.</w:t>
        <w:tab/>
        <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 xml:space="preserve">(m)The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tab/>
        <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{{Corporation}},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600"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 xml:space="preserve">1.1The Executive Engineer, {{Corporation}}., invites tenders for the above works vide </w:t>
        <w:tab/>
        <w:t xml:space="preserve"/>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{{Corporation}}</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{{Corporation}}.,</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 xml:space="preserve">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 xml:space="preserve">11.4The eligible/qualified bids will be opened on line by the Executive Engineer ,{{Corporation}}.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tab/>
        <w:t xml:space="preserve"/>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14.6.In consideration of the Executive Engineer / Superintending Engineer /Chief Engineer undertaking to investigate and to take into account each tender and in consideration of the work thereby involved, all earnest monies deposited by the tenderer will be forfeited to the {{Corp Full}} in the event of such tenderer either modifying or with-drawing his tender at his instance within the said validity period of three months.</w:t>
        <w:tab/>
        <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2The Executive Engineer ,{{Corporation}}. may extend the dates for issue and receipt of Tenders by issuing an amendment in which case all rights and obligations of the Executive Engineer and the Tenderers will remain same as previously.</w:t>
        <w:tab/>
        <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{{Corporation}}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25.1The Executive Engineer, {{Corporation}}. will evaluate and compare the price bids of all the qualified Tenderers.</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29.1The Tenderer whose Tender has been accepted will be notified of the award of the work by the Executive Engineer, {{Corporation}}. prior to expiry of the Tender validity period by registered letter. This letter (hereinafter and in the Conditions of Contract called “Letter of Acceptance”) will indicate the sum that the {{Corp Full}} will pay the Contractor in consideration of the execution, completion, and maintenance of the Works by the Contractor as prescribed by the Contract (hereinafter and in the Contract called the “Contract Amount”).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29.2When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{{Corporation}} shall be the foundation of the rights and obligations of both the parties and the contract shall not be deemed to be complete until the agreement has first been signed by the contractor and then by the proper officer authorized to enter into contract on behalf of the {{Corporation}}.</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30.1The {{Corp Full}} require that the bidders / suppliers / contractors under {{Corp Full}} financed contracts, observe the highest standard of ethics during the procurement and execution of such contracts.  In pursuance of this policy, the Government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{{Corp Full}},</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{{Corporation}}.,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7.8The Executive Engineer, {{Corporation}}. is the sole judge (a) to decide whether qualified technical staff is actually supervising the work and (b) to decide the actual period of absence of such staff which requires the above recovery to be enforced and his decision is final and binding on the contractor. </w:t>
        <w:tab/>
        <w:t xml:space="preserve"/>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{{Corporation}}.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{{Corporation}}.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{{Corporation}}. to check Quality Control concerned that the work has been executed as per standard specification and {{Corporation}}.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{{Corporation}}.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{{Corporation}}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{{Corporation}}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{{Corporation}}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 xml:space="preserve">b)The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{{Corporation}}., Hyderabad. </w:t>
        <w:tab/>
        <w:t xml:space="preserve"/>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 xml:space="preserve">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{{Corporation}}. from any and all claims for the infringement by reason of the use of any such patented  design device materials or process to be performed under the contract and indemnify the {{Corporation}}.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{{Corporation}}.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{{Corporation}} shall be got conducted by the {{Corporation}} approved institutions by taking 3 samples necessary charges will be paid as per approved rates by the {{Corporation}}.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Mmc4" Type="http://schemas.openxmlformats.org/officeDocument/2006/relationships/image" Target="media/mmc_header.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