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ind w:hanging="0" w:left="0"/>
        <w:jc w:val="center"/>
        <w:rPr>
          <w:rFonts w:ascii="Cambria" w:hAnsi="Cambria" w:cs="Cambria"/>
          <w:sz w:val="18"/>
          <w:szCs w:val="18"/>
        </w:rPr>
      </w:pPr>
      <w:r>
        <w:rPr>
          <w:rFonts w:cs="Cambria" w:ascii="Cambria" w:hAnsi="Cambria"/>
          <w:caps/>
          <w:color w:val="0E3A86"/>
          <w:sz w:val="18"/>
          <w:szCs w:val="18"/>
          <w:lang w:val="en-IN" w:eastAsia="en-IN" w:bidi="te-IN"/>
        </w:rPr>
        <w:drawing>
          <wp:anchor distT="0" distB="0" distL="114935" distR="114935" simplePos="0" relativeHeight="6" behindDoc="0" locked="0" layoutInCell="1" allowOverlap="1">
            <wp:simplePos x="0" y="0"/>
            <wp:positionH relativeFrom="column">
              <wp:posOffset>5445760</wp:posOffset>
            </wp:positionH>
            <wp:positionV relativeFrom="paragraph">
              <wp:posOffset>118745</wp:posOffset>
            </wp:positionV>
            <wp:extent cx="784860" cy="750570"/>
            <wp:effectExtent l="0" t="0" r="0" b="0"/>
            <wp:wrapNone/>
            <wp:docPr id="1"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GNewLogo"/>
                    <pic:cNvPicPr>
                      <a:picLocks noChangeAspect="1" noChangeArrowheads="1"/>
                    </pic:cNvPicPr>
                  </pic:nvPicPr>
                  <pic:blipFill>
                    <a:blip r:embed="rId2"/>
                    <a:srcRect l="-5" t="-5" r="-5" b="-5"/>
                    <a:stretch>
                      <a:fillRect/>
                    </a:stretch>
                  </pic:blipFill>
                  <pic:spPr bwMode="auto">
                    <a:xfrm>
                      <a:off x="0" y="0"/>
                      <a:ext cx="784860" cy="750570"/>
                    </a:xfrm>
                    <a:prstGeom prst="rect">
                      <a:avLst/>
                    </a:prstGeom>
                    <a:noFill/>
                  </pic:spPr>
                </pic:pic>
              </a:graphicData>
            </a:graphic>
          </wp:anchor>
        </w:drawing>
      </w:r>
    </w:p>
    <w:p>
      <w:pPr>
        <w:pStyle w:val="Normal"/>
        <w:rPr/>
      </w:pPr>
      <w:r>
        <w:rPr>
          <w:rFonts w:cs="Cambria" w:ascii="Cambria" w:hAnsi="Cambria"/>
          <w:sz w:val="18"/>
          <w:szCs w:val="18"/>
          <w:lang w:val="en-IN" w:eastAsia="en-IN"/>
        </w:rPr>
        <w:drawing>
          <wp:anchor distT="0" distB="0" distL="114935" distR="114935" simplePos="0" relativeHeight="5" behindDoc="0" locked="0" layoutInCell="1" allowOverlap="1">
            <wp:simplePos x="0" y="0"/>
            <wp:positionH relativeFrom="column">
              <wp:posOffset>0</wp:posOffset>
            </wp:positionH>
            <wp:positionV relativeFrom="paragraph">
              <wp:posOffset>635</wp:posOffset>
            </wp:positionV>
            <wp:extent cx="716280" cy="716280"/>
            <wp:effectExtent l="0" t="0" r="0" b="0"/>
            <wp:wrapNone/>
            <wp:docPr id="2"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langanalogo1"/>
                    <pic:cNvPicPr>
                      <a:picLocks noChangeAspect="1" noChangeArrowheads="1"/>
                    </pic:cNvPicPr>
                  </pic:nvPicPr>
                  <pic:blipFill>
                    <a:blip r:embed="rId3"/>
                    <a:srcRect l="-29" t="-29" r="-29" b="-29"/>
                    <a:stretch>
                      <a:fillRect/>
                    </a:stretch>
                  </pic:blipFill>
                  <pic:spPr bwMode="auto">
                    <a:xfrm>
                      <a:off x="0" y="0"/>
                      <a:ext cx="716280" cy="71628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28"/>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4"/>
          <w:szCs w:val="32"/>
        </w:rPr>
        <w:t xml:space="preserve"> </w:t>
      </w: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A.B. No.            /EE/_____________________________/CMC/2026-27</w:t>
        <w:tab/>
        <w:tab/>
        <w:t xml:space="preserve">             Date:      /     /2026  </w:t>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p>
          <w:p>
            <w:pPr>
              <w:pStyle w:val="Normal"/>
              <w:rPr>
                <w:b/>
                <w:sz w:val="16"/>
                <w:szCs w:val="16"/>
              </w:rPr>
            </w:pPr>
            <w:r>
              <w:rPr>
                <w:b/>
                <w:sz w:val="16"/>
                <w:szCs w:val="16"/>
              </w:rPr>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 xml:space="preserve">               </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pPr>
        <w:pStyle w:val="Normal"/>
        <w:jc w:val="both"/>
        <w:rPr>
          <w:rFonts w:ascii="Cambria" w:hAnsi="Cambria" w:cs="Cambria"/>
          <w:b/>
          <w:bCs/>
          <w:sz w:val="18"/>
          <w:szCs w:val="18"/>
        </w:rPr>
      </w:pPr>
      <w:r>
        <w:rPr>
          <w:rFonts w:cs="Cambria" w:ascii="Cambria" w:hAnsi="Cambria"/>
          <w:b/>
          <w:bCs/>
          <w:sz w:val="18"/>
          <w:szCs w:val="18"/>
          <w:lang w:val="en-IN" w:eastAsia="en-IN"/>
        </w:rPr>
        <w:drawing>
          <wp:anchor distT="0" distB="0" distL="114935" distR="114935" simplePos="0" relativeHeight="3" behindDoc="0" locked="0" layoutInCell="1" allowOverlap="1">
            <wp:simplePos x="0" y="0"/>
            <wp:positionH relativeFrom="column">
              <wp:posOffset>0</wp:posOffset>
            </wp:positionH>
            <wp:positionV relativeFrom="paragraph">
              <wp:posOffset>18415</wp:posOffset>
            </wp:positionV>
            <wp:extent cx="716280" cy="716280"/>
            <wp:effectExtent l="0" t="0" r="0" b="0"/>
            <wp:wrapNone/>
            <wp:docPr id="4"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nganalogo1"/>
                    <pic:cNvPicPr>
                      <a:picLocks noChangeAspect="1" noChangeArrowheads="1"/>
                    </pic:cNvPicPr>
                  </pic:nvPicPr>
                  <pic:blipFill>
                    <a:blip r:embed="rId5"/>
                    <a:srcRect l="-29" t="-29" r="-29" b="-29"/>
                    <a:stretch>
                      <a:fillRect/>
                    </a:stretch>
                  </pic:blipFill>
                  <pic:spPr bwMode="auto">
                    <a:xfrm>
                      <a:off x="0" y="0"/>
                      <a:ext cx="716280" cy="716280"/>
                    </a:xfrm>
                    <a:prstGeom prst="rect">
                      <a:avLst/>
                    </a:prstGeom>
                    <a:noFill/>
                  </pic:spPr>
                </pic:pic>
              </a:graphicData>
            </a:graphic>
          </wp:anchor>
        </w:drawing>
        <w:drawing>
          <wp:anchor distT="0" distB="0" distL="114935" distR="114935" simplePos="0" relativeHeight="4" behindDoc="0" locked="0" layoutInCell="1" allowOverlap="1">
            <wp:simplePos x="0" y="0"/>
            <wp:positionH relativeFrom="column">
              <wp:posOffset>5293360</wp:posOffset>
            </wp:positionH>
            <wp:positionV relativeFrom="paragraph">
              <wp:posOffset>-5715</wp:posOffset>
            </wp:positionV>
            <wp:extent cx="784860" cy="750570"/>
            <wp:effectExtent l="0" t="0" r="0" b="0"/>
            <wp:wrapNone/>
            <wp:docPr id="5"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GNewLogo"/>
                    <pic:cNvPicPr>
                      <a:picLocks noChangeAspect="1" noChangeArrowheads="1"/>
                    </pic:cNvPicPr>
                  </pic:nvPicPr>
                  <pic:blipFill>
                    <a:blip r:embed="rId6"/>
                    <a:srcRect l="-5" t="-5" r="-5" b="-5"/>
                    <a:stretch>
                      <a:fillRect/>
                    </a:stretch>
                  </pic:blipFill>
                  <pic:spPr bwMode="auto">
                    <a:xfrm>
                      <a:off x="0" y="0"/>
                      <a:ext cx="784860" cy="75057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32"/>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8"/>
          <w:szCs w:val="32"/>
        </w:rPr>
        <w:t xml:space="preserve"> </w:t>
      </w: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G.H.M.C./C.M.C..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Bidders need to contact the Executive Engineer, C.M.C.., for any information on e-Procurement.</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(m)</w:t>
        <w:tab/>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CMC,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1.1</w:t>
        <w:tab/>
        <w:t xml:space="preserve">The Executive Engineer, C.M.C.., invites tenders for the above works vide </w:t>
      </w:r>
      <w:r>
        <w:rPr>
          <w:rFonts w:cs="Cambria" w:ascii="Cambria" w:hAnsi="Cambria"/>
          <w:b/>
          <w:color w:val="FF0000"/>
          <w:sz w:val="18"/>
          <w:szCs w:val="18"/>
          <w:highlight w:val="yellow"/>
        </w:rPr>
        <w:t xml:space="preserve">NIT No.  </w:t>
      </w:r>
      <w:r>
        <w:rPr>
          <w:rFonts w:cs="Cambria" w:ascii="Cambria" w:hAnsi="Cambria"/>
          <w:b/>
          <w:color w:val="FF0000"/>
          <w:sz w:val="18"/>
          <w:szCs w:val="18"/>
        </w:rPr>
        <w:t>…………………………………………………</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CMC</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C.M.C..,</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11.4</w:t>
        <w:tab/>
        <w:t xml:space="preserve">The eligible/qualified bids will be opened on line by the Executive Engineer ,C.M.C..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w:t>
        <w:tab/>
        <w:t>In consideration of the Executive Engineer / Superintending Engineer /Chief Engineer undertaking to investigate and to take into account each tender and in consideration of the work thereby involved, all earnest monies deposited by the tenderer will be forfeited to the Cyberabad Municipal Corporation in the event of such tenderer either modifying or with-drawing his tender at his instance within the said validity period of three months.</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w:t>
        <w:tab/>
        <w:t>The Executive Engineer ,C.M.C.. may extend the dates for issue and receipt of Tenders by issuing an amendment in which case all rights and obligations of the Executive Engineer and the Tenderers will remain same as previously.</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CMC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w:t>
        <w:tab/>
        <w:t>The Executive Engineer, C.M.C.. will evaluate and compare the price bids of all the qualified Tenderers.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w:t>
        <w:tab/>
        <w:t>The Tenderer whose Tender has been accepted will be notified of the award of the work by the Executive Engineer, C.M.C.. prior to expiry of the Tender validity period by registered letter. This letter (hereinafter and in the Conditions of Contract called “Letter of Acceptance”) will indicate the sum that the Cyberabad Municipal Corporation will pay the Contractor in consideration of the execution, completion, and maintenance of the Works by the Contractor as prescribed by the Contract (hereinafter and in the Contract called the “Contract Amount”).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29.2</w:t>
        <w:tab/>
        <w:t>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CMC shall be the foundation of the rights and obligations of both the parties and the contract shall not be deemed to be complete until the agreement has first been signed by the contractor and then by the proper officer authorized to enter into contract on behalf of the CMC.</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30.1</w:t>
        <w:tab/>
        <w:t>The Cyberabad Municipal Corporation require that the bidders / suppliers / contractors under Cyberabad Municipal Corporation financed contracts, observe the highest standard of ethics during the procurement and execution of such contracts.  In pursuance of this policy, the Government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Cyberabad Municipal Corporation,</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C.M.C..,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7.8</w:t>
        <w:tab/>
        <w:t xml:space="preserve">The Executive Engineer, C.M.C.. is the sole judge (a) to decide whether qualified technical staff is actually supervising the work and (b) to decide the actual period of absence of such staff which requires the above recovery to be enforced and his decision is final and binding on the contractor. </w:t>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C.M.C..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C.M.C..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C.M.C.. to check Quality Control concerned that the work has been executed as per standard specification and C.M.C..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CMC.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CMC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CMC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CMC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b)</w:t>
        <w:tab/>
        <w:t xml:space="preserve">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C.M.C.., Hyderabad. </w:t>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C.M.C.. from any and all claims for the infringement by reason of the use of any such patented  design device materials or process to be performed under the contract and indemnify the C.M.C..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C.M.C..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CMC shall be got conducted by the CMC approved institutions by taking 3 samples necessary charges will be paid as per approved rates by the CMC.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 (In figures)…………………………………………………………………………….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No._____</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QUTHBULLAPUR ZONE, C.M.C.</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No._______</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QUTHBULLAPUR ZONE, C.M.C.</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