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p>
      <w:pPr>
        <w:tabs>
          <w:tab w:pos="8496" w:val="right"/>
        </w:tabs>
        <w:spacing w:after="0"/>
      </w:pPr>
      <w:r>
        <w:rPr>
          <w:b/>
          <w:i w:val="0"/>
          <w:u w:val="none"/>
          <w:rFonts w:ascii="Times New Roman" w:hAnsi="Times New Roman" w:cs="Times New Roman"/>
        </w:rPr>
        <w:t xml:space="preserve">LOA  Letter No.    </w:t>
      </w:r>
      <w:r>
        <w:rPr>
          <w:b/>
          <w:i w:val="0"/>
          <w:u w:val="none"/>
          <w:rFonts w:ascii="Times New Roman" w:hAnsi="Times New Roman" w:cs="Times New Roman"/>
        </w:rPr>
        <w:t>{{Item No}}/SE/{{Zone Abbr}}/CMC/{{Financial year}}</w:t>
      </w:r>
      <w:r>
        <w:rPr>
          <w:b/>
          <w:i w:val="0"/>
          <w:u w:val="none"/>
          <w:rFonts w:ascii="Times New Roman" w:hAnsi="Times New Roman" w:cs="Times New Roman"/>
        </w:rPr>
        <w:tab/>
        <w:t>Date:  {{LOA Date}}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p>
      <w:pPr>
        <w:tabs>
          <w:tab w:pos="504" w:val="left"/>
        </w:tabs>
        <w:spacing w:before="0" w:after="60" w:line="240" w:lineRule="auto"/>
        <w:ind w:left="1440" w:hanging="1008"/>
        <w:jc w:val="both"/>
      </w:pPr>
      <w:r>
        <w:rPr>
          <w:b/>
          <w:i w:val="0"/>
          <w:u w:val="none"/>
          <w:rFonts w:ascii="Times New Roman" w:hAnsi="Times New Roman" w:cs="Times New Roman"/>
        </w:rPr>
        <w:t>Sub: -</w:t>
      </w:r>
      <w:r>
        <w:rPr>
          <w:b w:val="0"/>
          <w:i w:val="0"/>
          <w:u w:val="none"/>
          <w:rFonts w:ascii="Times New Roman" w:hAnsi="Times New Roman" w:cs="Times New Roman"/>
        </w:rPr>
        <w:tab/>
        <w:t>CMC – SE-(M) – {{Zone Abbr}} – “{{Name of the work}}” {{Reserved Tag}}- Intimation Letter issued – Reg.</w:t>
      </w:r>
    </w:p>
    <w:p>
      <w:pPr>
        <w:tabs>
          <w:tab w:pos="504" w:val="left"/>
        </w:tabs>
        <w:spacing w:before="0" w:after="0" w:line="240" w:lineRule="auto"/>
        <w:ind w:left="1440" w:hanging="1008"/>
      </w:pPr>
      <w:r>
        <w:rPr>
          <w:b/>
          <w:i w:val="0"/>
          <w:u w:val="none"/>
          <w:rFonts w:ascii="Times New Roman" w:hAnsi="Times New Roman" w:cs="Times New Roman"/>
        </w:rPr>
        <w:t>Ref: -</w:t>
      </w:r>
      <w:r>
        <w:rPr>
          <w:b w:val="0"/>
          <w:i w:val="0"/>
          <w:u w:val="none"/>
          <w:rFonts w:ascii="Times New Roman" w:hAnsi="Times New Roman" w:cs="Times New Roman"/>
        </w:rPr>
        <w:tab/>
        <w:t>1)</w:t>
        <w:tab/>
        <w:t>NIT No. {{Nit No}} (Item No.{{Item No}}), Date: {{Nit Date}}. Tender ID:{{Tender ID}}</w:t>
      </w:r>
    </w:p>
    <w:p>
      <w:pPr>
        <w:tabs>
          <w:tab w:pos="1008" w:val="left"/>
        </w:tabs>
        <w:spacing w:before="0" w:after="20" w:line="240" w:lineRule="auto"/>
        <w:ind w:left="1440"/>
      </w:pPr>
      <w:r>
        <w:rPr>
          <w:b w:val="0"/>
          <w:i w:val="0"/>
          <w:u w:val="none"/>
          <w:rFonts w:ascii="Times New Roman" w:hAnsi="Times New Roman" w:cs="Times New Roman"/>
        </w:rPr>
        <w:tab/>
        <w:t>2)</w:t>
        <w:tab/>
        <w:t>Price bid opened on dated: {{Price Bid opening date}}</w:t>
      </w:r>
    </w:p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Admin. Sanction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Rs.{{Admin Sanction Value}}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Estimate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Rs.{{ECV}}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Tender Percentage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(-) {{Tender Percentage}} % Less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Tender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Rs.{{Contract Amount}}</w:t>
      </w:r>
    </w:p>
    <w:p>
      <w:pPr>
        <w:tabs>
          <w:tab w:pos="4680" w:val="left"/>
          <w:tab w:pos="5112" w:val="left"/>
        </w:tabs>
        <w:spacing w:after="6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Period of Completion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{{Period of Completion}}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(i)</w:t>
      </w:r>
      <w:r>
        <w:rPr>
          <w:b w:val="0"/>
          <w:i w:val="0"/>
          <w:u w:val="none"/>
          <w:rFonts w:ascii="Times New Roman" w:hAnsi="Times New Roman" w:cs="Times New Roman"/>
        </w:rPr>
        <w:tab/>
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(ii)</w:t>
      </w:r>
      <w:r>
        <w:rPr>
          <w:b w:val="0"/>
          <w:i w:val="0"/>
          <w:u w:val="none"/>
          <w:rFonts w:ascii="Times New Roman" w:hAnsi="Times New Roman" w:cs="Times New Roman"/>
        </w:rPr>
        <w:tab/>
        <w:t>A MoU with an owned/leased RMC plant must be submitted, along with a self-declaration on ₹100 non-judicial stamp paper, proof of ownership/lease of the RMC plant as per the given proforma, and the QCI certificate.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(iii)</w:t>
      </w:r>
      <w:r>
        <w:rPr>
          <w:b w:val="0"/>
          <w:i w:val="0"/>
          <w:u w:val="none"/>
          <w:rFonts w:ascii="Times New Roman" w:hAnsi="Times New Roman" w:cs="Times New Roman"/>
        </w:rPr>
        <w:tab/>
        <w:t>Programme for completion of the work within 3 (Three) Months.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(iv)</w:t>
      </w:r>
      <w:r>
        <w:rPr>
          <w:b w:val="0"/>
          <w:i w:val="0"/>
          <w:u w:val="none"/>
          <w:rFonts w:ascii="Times New Roman" w:hAnsi="Times New Roman" w:cs="Times New Roman"/>
        </w:rPr>
        <w:tab/>
        <w:t>The work shall be commenced and completed within the agreement period.</w:t>
      </w:r>
    </w:p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p>
      <w:pPr>
        <w:tabs>
          <w:tab w:pos="792" w:val="left"/>
        </w:tabs>
        <w:spacing w:before="0" w:after="2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1)</w:t>
        <w:tab/>
        <w:t>The Deputy Commissioner, {{Circle Line}}, {{Zone Abbr}}, CMC.</w:t>
      </w:r>
    </w:p>
    <w:p>
      <w:pPr>
        <w:tabs>
          <w:tab w:pos="792" w:val="left"/>
        </w:tabs>
        <w:spacing w:before="0" w:after="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2)</w:t>
        <w:tab/>
        <w:t>The Executive Engineer, {{Circle Line}}, CMC to take necessary action on the following: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i.</w:t>
      </w:r>
      <w:r>
        <w:rPr>
          <w:b w:val="0"/>
          <w:i w:val="0"/>
          <w:u w:val="none"/>
          <w:rFonts w:ascii="Times New Roman" w:hAnsi="Times New Roman" w:cs="Times New Roman"/>
        </w:rPr>
        <w:tab/>
        <w:t>Shall ensure that the taxes to be deducted are carefully recovered from the bidder.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ii.</w:t>
      </w:r>
      <w:r>
        <w:rPr>
          <w:b w:val="0"/>
          <w:i w:val="0"/>
          <w:u w:val="none"/>
          <w:rFonts w:ascii="Times New Roman" w:hAnsi="Times New Roman" w:cs="Times New Roman"/>
        </w:rPr>
        <w:tab/>
        <w:t>As per the instructions of the Commissioner, CMC get the periodical inspection with QCC Wing to ensure the quality of the work.</w:t>
      </w:r>
    </w:p>
    <w:sectPr w:rsidR="00FC693F" w:rsidRPr="0006063C" w:rsidSect="00034616">
      <w:pgSz w:w="12240" w:h="1584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