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52"/>
          <w:szCs w:val="20"/>
        </w:rPr>
      </w:pPr>
      <w:r>
        <w:rPr>
          <w:sz w:val="52"/>
          <w:szCs w:val="20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9pt;margin-top:-4.1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-57785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5549265</wp:posOffset>
            </wp:positionH>
            <wp:positionV relativeFrom="paragraph">
              <wp:posOffset>-95885</wp:posOffset>
            </wp:positionV>
            <wp:extent cx="656590" cy="661670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6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Office of the Superintending Engineer(M), {{Zone}} Zone, {{Corp}}.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             /SE/{{ZoneAbbr}}/{{Corp}}/{{FY}}                                        DT.                     -2026</w:t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Header"/>
        <w:ind w:hanging="720" w:start="702" w:end="0"/>
        <w:jc w:val="both"/>
        <w:rPr>
          <w:b/>
          <w:sz w:val="22"/>
          <w:szCs w:val="22"/>
        </w:rPr>
      </w:pPr>
      <w:r>
        <w:rPr>
          <w:b/>
          <w:bCs/>
        </w:rPr>
        <w:t xml:space="preserve">{{Agency Name}}</w:t>
      </w:r>
    </w:p>
    <w:p>
      <w:pPr>
        <w:pStyle w:val="Default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000000"/>
          <w:sz w:val="22"/>
          <w:szCs w:val="22"/>
        </w:rPr>
        <w:t xml:space="preserve">{{Agency Address}}</w:t>
      </w:r>
    </w:p>
    <w:p>
      <w:pPr>
        <w:pStyle w:val="Normal"/>
        <w:tabs>
          <w:tab w:val="clear" w:pos="720"/>
          <w:tab w:val="left" w:pos="90" w:leader="none"/>
        </w:tabs>
        <w:jc w:val="both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 xml:space="preserve">Ph: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14"/>
        </w:rPr>
      </w:pPr>
      <w:r>
        <w:rPr>
          <w:rFonts w:cs="Book Antiqua" w:ascii="Book Antiqua" w:hAnsi="Book Antiqua"/>
          <w:b/>
          <w:color w:val="000000"/>
          <w:sz w:val="2"/>
          <w:szCs w:val="14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- {{Corp}} – “{{Name of Work}}” 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Times New Roman" w:hAnsi="Times New Roman" w:cs="Times New Roman"/>
                <w:sz w:val="22"/>
                <w:szCs w:val="22"/>
                <w:u w:val="none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1) ‘e’ proc. NIT No: {{NIT No}}  (Item No.       ), 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Times New Roman" w:hAnsi="Times New Roman" w:cs="Times New Roman"/>
                <w:sz w:val="22"/>
                <w:szCs w:val="22"/>
                <w:u w:val="none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2) Tender ID: {{Tender ID}}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3) LoA No:            /SE/{{ZoneAbbr}}/{{Corp}}/{{FY}},  dated:                     of the SE, {{ZoneAbbr}}, {{Corp}}.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Adverting to the subject cited, on receipt of the documents mentioned in ref. 3rd cited, you are hereby directed to contact the Executive Engineer, {{EE Circle}}, {{Zone}} Zone, {{Corp}} to start the work immediately from the date of receipt of this letter and work should be completed within a period of {{Period}}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  <w:tab/>
        <w:t xml:space="preserve">             {{Zone}} Zone, {{Corp}}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{{EE Circle}},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{{EE Circle}},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Segoe UI" w:hAnsi="Segoe UI" w:eastAsia="Times New Roman" w:cs="Segoe UI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2026-07-30T18:50:00Z</cp:lastPrinted>
  <dcterms:modified xsi:type="dcterms:W3CDTF">2026-07-30T18:50:00Z</dcterms:modified>
  <cp:revision>360</cp:revision>
  <dc:subject/>
  <dc:title>GREATER HYDERABAD MUNICIPAL CORPORATION</dc:title>
</cp:coreProperties>
</file>