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{{Corp Full Caps}}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Office of the Superintending Engineer(M), {{Zone}} Zone, {{Corporation}}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Intimation Lr.No.    {{Item No}}/SE(M)/{{Zone Abbr}} ZONE/{{Corporation}}/{{Financial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DT.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Engg – SE(M) – {{Zone}} Zone – {{Corporation}} – “{{Name of the work}}” {{Reserved Tag}} 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‘e’ proc. Short NIT No.{{Nit No}} (Item No.{{Item No}}).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Your tender dt.{{Price Bid opening date}}.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hereby informed that your bid for execution of the work of “{{Name of the work}}” @ (-) {{Tender Percentage}}% Less than the Estimate Contract Value i.e., Rs.{{ECV}} with a Tender Contract Value of Rs.{{Contract Amount}} (Rupees {{Contract In Words}} only) is accepted as per the terms and conditions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hereby requested to furnish the following to conclude agreement.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Balance 1½% EMD {{MMC Emd Clause}} in favour of the Commissioner, {{Corporation}}. The validity of B.G should be {{BG Validity Months}} Months (i.e., {{Period Number}}+24={{BG Validity Months}}) including defect liability period, in addition to 1% EMD already paid.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Rs.100/- Non-Judicial stamp paper.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Produce the original certificates of the uploaded documents for verification in the office of the Superintending Engineer, {{Zone}} Zone, {{Corporation}} along with a Xerox copy of uploaded documents.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work for {{Period Completion}}.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You are requested to submit original RMC MOU.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completed within the agreement period from the date of handing over site.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Please note that if you fail to conclude the agreement within 3 days, suitable action will be initiated as per A.P.D.S.S. and clauses of Terms and Conditions of Tender Document subject to modifications accepted by competent authority.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Receipt of this letter shall be acknowledged.</w:t>
      </w:r>
      <w:r>
        <w:rPr>
          <w:b w:val="0"/>
          <w:i w:val="0"/>
          <w:u w:val="none"/>
          <w:rFonts w:ascii="Times New Roman" w:hAnsi="Times New Roman" w:cs="Times New Roman"/>
        </w:rPr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{{Corporation}}.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Engineer-I,{{Circle Line}}, {{Zone}} Zone, {{Corporation}} is requested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tenderer submits Programme for completion of work as per stipulated time and follows mile stone as per the chart.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tenderer deploys key and critical equipment required for the work.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iv.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{{Corporation}} get the periodical inspection with QCC Wing to ensure the quality of the work.</w:t>
            </w:r>
          </w:p>
        </w:tc>
      </w:tr>
    </w:tbl>
    <w:p>
      <w:r>
        <w:t>The Superintending Engineer (QCC), {{Corporation}} for inspection and necessary action.</w:t>
      </w:r>
    </w:p>
    <w:p>
      <w:r>
        <w:t>The Executive Engineer (QCC), {{Corporation}} for inspection and necessary action.</w:t>
      </w:r>
    </w:p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