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00"/>
      </w:pPr>
      <w:r>
        <w:rPr>
          <w:rFonts w:ascii="Times New Roman" w:hAnsi="Times New Roman" w:cs="Times New Roman"/>
          <w:sz w:val="24"/>
          <w:sz-cs w:val="24"/>
          <w:b/>
          <w:u w:val="single"/>
        </w:rPr>
        <w:t xml:space="preserve">Note Submitted</w:t>
      </w:r>
      <w:r>
        <w:rPr>
          <w:rFonts w:ascii="Times New Roman" w:hAnsi="Times New Roman" w:cs="Times New Roman"/>
          <w:sz w:val="24"/>
          <w:sz-cs w:val="24"/>
          <w:b/>
        </w:rPr>
        <w:t xml:space="preserve">:</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
        <w:gridCol w:w="9072"/>
      </w:tblGrid>
      <w:tr>
        <w:tc>
          <w:tcPr>
            <w:tcW w:type="dxa" w:w="720"/>
          </w:tcPr>
          <w:p>
            <w:pPr>
              <w:spacing w:after="0" w:before="0"/>
            </w:pPr>
            <w:r>
              <w:rPr>
                <w:rFonts w:ascii="Times New Roman" w:hAnsi="Times New Roman"/>
                <w:b w:val="0"/>
                <w:sz w:val="22"/>
              </w:rPr>
              <w:t>Sub:</w:t>
            </w:r>
          </w:p>
        </w:tc>
        <w:tc>
          <w:tcPr>
            <w:tcW w:type="dxa" w:w="9072"/>
          </w:tcPr>
          <w:p>
            <w:pPr>
              <w:spacing w:after="0" w:before="0"/>
            </w:pPr>
            <w:r>
              <w:rPr>
                <w:rFonts w:ascii="Times New Roman" w:hAnsi="Times New Roman"/>
                <w:b w:val="0"/>
                <w:sz w:val="22"/>
              </w:rPr>
              <w:t>{{Corporation}}- Engg. - SE-{{Zone Abbr}}- {{Name of the work}} - Estimate Cost- Rs.{{Estimate Lakhs}} Lakhs – Eligibility criteria submitted for approval – Req-Reg.</w:t>
            </w:r>
          </w:p>
        </w:tc>
      </w:tr>
    </w:tbl>
    <w:p>
      <w:pPr>
        <w:jc w:val="both"/>
        <w:ind w:left="1440" w:first-line="-720"/>
      </w:pPr>
      <w:r>
        <w:rPr>
          <w:rFonts w:ascii="Times New Roman" w:hAnsi="Times New Roman" w:cs="Times New Roman"/>
          <w:sz w:val="24"/>
          <w:sz-cs w:val="24"/>
        </w:rPr>
        <w:t xml:space="preserve"/>
        <w:tab/>
        <w:t xml:space="preserve"/>
        <w:tab/>
        <w:t xml:space="preserve"/>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720"/>
        <w:gridCol w:w="9072"/>
      </w:tblGrid>
      <w:tr>
        <w:tc>
          <w:tcPr>
            <w:tcW w:type="dxa" w:w="720"/>
          </w:tcPr>
          <w:p>
            <w:pPr>
              <w:spacing w:after="0" w:before="0"/>
            </w:pPr>
            <w:r>
              <w:rPr>
                <w:rFonts w:ascii="Times New Roman" w:hAnsi="Times New Roman"/>
                <w:b w:val="0"/>
                <w:sz w:val="22"/>
              </w:rPr>
              <w:t>Ref:</w:t>
            </w:r>
          </w:p>
        </w:tc>
        <w:tc>
          <w:tcPr>
            <w:tcW w:type="dxa" w:w="9072"/>
          </w:tcPr>
          <w:p>
            <w:pPr>
              <w:spacing w:after="0" w:before="0"/>
            </w:pPr>
            <w:r>
              <w:rPr>
                <w:rFonts w:ascii="Times New Roman" w:hAnsi="Times New Roman"/>
                <w:b w:val="0"/>
                <w:sz w:val="22"/>
              </w:rPr>
              <w:t>1. Administrative sanction approval of the {{AS Ref Line}}.</w:t>
            </w:r>
          </w:p>
        </w:tc>
      </w:tr>
      <w:tr>
        <w:tc>
          <w:tcPr>
            <w:tcW w:type="dxa" w:w="720"/>
          </w:tcPr>
          <w:p>
            <w:pPr>
              <w:spacing w:after="0" w:before="0"/>
            </w:pPr>
            <w:r>
              <w:rPr>
                <w:rFonts w:ascii="Times New Roman" w:hAnsi="Times New Roman"/>
                <w:b w:val="0"/>
                <w:sz w:val="22"/>
              </w:rPr>
            </w:r>
          </w:p>
        </w:tc>
        <w:tc>
          <w:tcPr>
            <w:tcW w:type="dxa" w:w="9072"/>
          </w:tcPr>
          <w:p>
            <w:pPr>
              <w:spacing w:after="0" w:before="0"/>
            </w:pPr>
            <w:r>
              <w:rPr>
                <w:rFonts w:ascii="Times New Roman" w:hAnsi="Times New Roman"/>
                <w:b w:val="0"/>
                <w:sz w:val="22"/>
              </w:rPr>
              <w:t>2. T.S.No.{{TS No}}/SE/{{Zone Abbr}}/{{Corporation}}/{{Financial year}}, Dated: {{TS Date}}.</w:t>
            </w:r>
          </w:p>
        </w:tc>
      </w:tr>
    </w:tbl>
    <w:p>
      <w:pPr>
        <w:jc w:val="both"/>
        <w:ind w:left="1440" w:first-line="-720"/>
      </w:pPr>
      <w:r>
        <w:rPr>
          <w:rFonts w:ascii="Times New Roman" w:hAnsi="Times New Roman" w:cs="Times New Roman"/>
          <w:sz w:val="24"/>
          <w:sz-cs w:val="24"/>
        </w:rPr>
        <w:t xml:space="preserve"> </w:t>
      </w:r>
    </w:p>
    <w:p>
      <w:pPr>
        <w:jc w:val="center"/>
        <w:ind w:left="1440"/>
      </w:pPr>
      <w:r>
        <w:rPr>
          <w:rFonts w:ascii="Times New Roman" w:hAnsi="Times New Roman" w:cs="Times New Roman"/>
          <w:sz w:val="24"/>
          <w:sz-cs w:val="24"/>
        </w:rPr>
        <w:t xml:space="preserve">***</w:t>
      </w:r>
    </w:p>
    <w:p>
      <w:pPr>
        <w:jc w:val="both"/>
        <w:ind w:left="1440" w:first-line="-720"/>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In this Connection, it is to submit that vide reference 1st cited the proposal for “{{Name of the work}}” amounting to Rs.{{Estimate Lakhs}} lakhs was approved by the {{AS Authority}}. Accordingly, vide reference 2nd cited the work is technically sanctioned for Rs.{{Estimate Lakhs}} Lakhs.  </w:t>
      </w:r>
      <w:r>
        <w:rPr>
          <w:rFonts w:ascii="Times New Roman" w:hAnsi="Times New Roman" w:cs="Times New Roman"/>
          <w:sz w:val="24"/>
          <w:sz-cs w:val="24"/>
          <w:color w:val="000000"/>
        </w:rPr>
        <w:t xml:space="preserve"/>
      </w:r>
    </w:p>
    <w:p>
      <w:pPr>
        <w:jc w:val="both"/>
      </w:pPr>
      <w:r>
        <w:rPr>
          <w:rFonts w:ascii="Times New Roman" w:hAnsi="Times New Roman" w:cs="Times New Roman"/>
          <w:sz w:val="24"/>
          <w:sz-cs w:val="24"/>
        </w:rPr>
        <w:t xml:space="preserve">Further the Eligibility Criteria for the subject work is submitted as below</w:t>
      </w:r>
      <w:r>
        <w:rPr>
          <w:rFonts w:ascii="Times New Roman" w:hAnsi="Times New Roman" w:cs="Times New Roman"/>
          <w:sz w:val="24"/>
          <w:sz-cs w:val="24"/>
          <w:color w:val="000000"/>
        </w:rPr>
        <w:t xml:space="preserve"/>
      </w:r>
    </w:p>
    <w:p>
      <w:pPr>
        <w:jc w:val="center"/>
        <w:ind w:left="720"/>
      </w:pPr>
      <w:r>
        <w:rPr>
          <w:rFonts w:ascii="Times New Roman" w:hAnsi="Times New Roman" w:cs="Times New Roman"/>
          <w:sz w:val="22"/>
          <w:sz-cs w:val="22"/>
          <w:b/>
          <w:u w:val="single"/>
          <w:color w:val="000000"/>
        </w:rPr>
        <w:t xml:space="preserve">ELIGIBILITY CRITERIA</w:t>
      </w:r>
      <w:r>
        <w:rPr>
          <w:rFonts w:ascii="Times New Roman" w:hAnsi="Times New Roman" w:cs="Times New Roman"/>
          <w:sz w:val="24"/>
          <w:sz-cs w:val="24"/>
          <w:b/>
          <w:u w:val="single"/>
          <w:color w:val="000000"/>
        </w:rPr>
        <w:t xml:space="preserve"/>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Pr>
      <w:tblGrid>
        <w:gridCol w:w="3744"/>
        <w:gridCol w:w="6048"/>
      </w:tblGrid>
      <w:tr>
        <w:tc>
          <w:tcPr>
            <w:tcW w:type="dxa" w:w="3744"/>
          </w:tcPr>
          <w:p>
            <w:pPr>
              <w:spacing w:after="0" w:before="0"/>
            </w:pPr>
            <w:r>
              <w:rPr>
                <w:rFonts w:ascii="Times New Roman" w:hAnsi="Times New Roman"/>
                <w:b/>
                <w:sz w:val="22"/>
              </w:rPr>
              <w:t>NAME OF WORK:</w:t>
            </w:r>
          </w:p>
        </w:tc>
        <w:tc>
          <w:tcPr>
            <w:tcW w:type="dxa" w:w="6048"/>
          </w:tcPr>
          <w:p>
            <w:pPr>
              <w:spacing w:after="0"/>
            </w:pPr>
            <w:r>
              <w:rPr>
                <w:rFonts w:ascii="Times New Roman" w:hAnsi="Times New Roman"/>
                <w:sz w:val="22"/>
              </w:rPr>
              <w:t>{{Name of the work}} (Item No.{{Item No}})</w:t>
            </w:r>
          </w:p>
        </w:tc>
      </w:tr>
      <w:tr>
        <w:tc>
          <w:tcPr>
            <w:tcW w:type="dxa" w:w="3744"/>
          </w:tcPr>
          <w:p>
            <w:pPr>
              <w:spacing w:after="0" w:before="0"/>
            </w:pPr>
            <w:r>
              <w:rPr>
                <w:rFonts w:ascii="Times New Roman" w:hAnsi="Times New Roman"/>
                <w:b w:val="0"/>
                <w:sz w:val="22"/>
              </w:rPr>
              <w:t>1. Estimate Contract Value</w:t>
            </w:r>
          </w:p>
        </w:tc>
        <w:tc>
          <w:tcPr>
            <w:tcW w:type="dxa" w:w="6048"/>
          </w:tcPr>
          <w:p>
            <w:pPr>
              <w:spacing w:after="0"/>
            </w:pPr>
            <w:r>
              <w:rPr>
                <w:rFonts w:ascii="Times New Roman" w:hAnsi="Times New Roman"/>
                <w:sz w:val="22"/>
              </w:rPr>
              <w:t>Rs.{{ECV}}</w:t>
            </w:r>
          </w:p>
        </w:tc>
      </w:tr>
      <w:tr>
        <w:tc>
          <w:tcPr>
            <w:tcW w:type="dxa" w:w="3744"/>
          </w:tcPr>
          <w:p>
            <w:pPr>
              <w:spacing w:after="0" w:before="0"/>
            </w:pPr>
            <w:r>
              <w:rPr>
                <w:rFonts w:ascii="Times New Roman" w:hAnsi="Times New Roman"/>
                <w:b w:val="0"/>
                <w:sz w:val="22"/>
              </w:rPr>
              <w:t>2. Class of registration</w:t>
            </w:r>
          </w:p>
        </w:tc>
        <w:tc>
          <w:tcPr>
            <w:tcW w:type="dxa" w:w="6048"/>
          </w:tcPr>
          <w:p>
            <w:pPr>
              <w:spacing w:after="0"/>
            </w:pPr>
            <w:r>
              <w:rPr>
                <w:rFonts w:ascii="Times New Roman" w:hAnsi="Times New Roman"/>
                <w:sz w:val="22"/>
              </w:rPr>
              <w:t>{{Class of Registration}}</w:t>
            </w:r>
          </w:p>
        </w:tc>
      </w:tr>
      <w:tr>
        <w:tc>
          <w:tcPr>
            <w:tcW w:type="dxa" w:w="3744"/>
          </w:tcPr>
          <w:p>
            <w:pPr>
              <w:spacing w:after="0" w:before="0"/>
            </w:pPr>
            <w:r>
              <w:rPr>
                <w:rFonts w:ascii="Times New Roman" w:hAnsi="Times New Roman"/>
                <w:b w:val="0"/>
                <w:sz w:val="22"/>
              </w:rPr>
              <w:t>3. EMD</w:t>
            </w:r>
          </w:p>
        </w:tc>
        <w:tc>
          <w:tcPr>
            <w:tcW w:type="dxa" w:w="6048"/>
          </w:tcPr>
          <w:p>
            <w:pPr>
              <w:spacing w:after="0"/>
            </w:pPr>
            <w:r>
              <w:rPr>
                <w:rFonts w:ascii="Times New Roman" w:hAnsi="Times New Roman"/>
                <w:sz w:val="22"/>
              </w:rPr>
              <w:t>Rs.{{EMD 1%}} /- in form of Online payment/BG (Valid for {{EMD Validity}})/ Challan in favour of Commissioner, {{Corporation}} from any Nationalized/ Commercial Scheduled Banks only.</w:t>
            </w:r>
          </w:p>
        </w:tc>
      </w:tr>
      <w:tr>
        <w:tc>
          <w:tcPr>
            <w:tcW w:type="dxa" w:w="3744"/>
          </w:tcPr>
          <w:p>
            <w:pPr>
              <w:spacing w:after="0" w:before="0"/>
            </w:pPr>
            <w:r>
              <w:rPr>
                <w:rFonts w:ascii="Times New Roman" w:hAnsi="Times New Roman"/>
                <w:b w:val="0"/>
                <w:sz w:val="22"/>
              </w:rPr>
              <w:t>4. Period of completion</w:t>
            </w:r>
          </w:p>
        </w:tc>
        <w:tc>
          <w:tcPr>
            <w:tcW w:type="dxa" w:w="6048"/>
          </w:tcPr>
          <w:p>
            <w:pPr>
              <w:spacing w:after="0"/>
            </w:pPr>
            <w:r>
              <w:rPr>
                <w:rFonts w:ascii="Times New Roman" w:hAnsi="Times New Roman"/>
                <w:sz w:val="22"/>
              </w:rPr>
              <w:t>{{Period of Completion}}</w:t>
            </w:r>
          </w:p>
        </w:tc>
      </w:tr>
      <w:tr>
        <w:tc>
          <w:tcPr>
            <w:tcW w:type="dxa" w:w="3744"/>
          </w:tcPr>
          <w:p>
            <w:pPr>
              <w:spacing w:after="0" w:before="0"/>
            </w:pPr>
            <w:r>
              <w:rPr>
                <w:rFonts w:ascii="Times New Roman" w:hAnsi="Times New Roman"/>
                <w:b w:val="0"/>
                <w:sz w:val="22"/>
              </w:rPr>
              <w:t>5. Liquid Assets / Credit facilities / Solvency certificates</w:t>
            </w:r>
          </w:p>
        </w:tc>
        <w:tc>
          <w:tcPr>
            <w:tcW w:type="dxa" w:w="6048"/>
          </w:tcPr>
          <w:p>
            <w:pPr>
              <w:spacing w:after="0"/>
            </w:pPr>
            <w:r>
              <w:rPr>
                <w:rFonts w:ascii="Times New Roman" w:hAnsi="Times New Roman"/>
                <w:sz w:val="22"/>
              </w:rPr>
              <w:t>Not less than Rs.{{ECV Lakhs}} Lakhs from Nationalized Banks/ Scheduled Commercial Banks. Validity of solvency certificate shall be {{Solvency Validity}} from the date of issue.</w:t>
            </w:r>
          </w:p>
        </w:tc>
      </w:tr>
      <w:tr>
        <w:tc>
          <w:tcPr>
            <w:tcW w:type="dxa" w:w="3744"/>
          </w:tcPr>
          <w:p>
            <w:pPr>
              <w:spacing w:after="0" w:before="0"/>
            </w:pPr>
            <w:r>
              <w:rPr>
                <w:rFonts w:ascii="Times New Roman" w:hAnsi="Times New Roman"/>
                <w:b w:val="0"/>
                <w:sz w:val="22"/>
              </w:rPr>
              <w:t>6. Key Personnel’s</w:t>
            </w:r>
          </w:p>
        </w:tc>
        <w:tc>
          <w:tcPr>
            <w:tcW w:type="dxa" w:w="6048"/>
          </w:tcPr>
          <w:p>
            <w:pPr>
              <w:spacing w:after="0"/>
            </w:pPr>
            <w:r>
              <w:rPr>
                <w:rFonts w:ascii="Times New Roman" w:hAnsi="Times New Roman"/>
                <w:sz w:val="22"/>
              </w:rPr>
              <w:t>Graduate Engineer (Civil) - {{Graduate Engineers}}</w:t>
            </w:r>
          </w:p>
          <w:p>
            <w:pPr>
              <w:spacing w:after="0"/>
            </w:pPr>
            <w:r>
              <w:rPr>
                <w:rFonts w:ascii="Times New Roman" w:hAnsi="Times New Roman"/>
                <w:sz w:val="22"/>
              </w:rPr>
              <w:t>Diploma Engineer (Civil) – {{Diploma Engineers}}</w:t>
            </w:r>
          </w:p>
        </w:tc>
      </w:tr>
      <w:tr>
        <w:tc>
          <w:tcPr>
            <w:tcW w:type="dxa" w:w="3744"/>
          </w:tcPr>
          <w:p>
            <w:pPr>
              <w:spacing w:after="0" w:before="0"/>
            </w:pPr>
            <w:r>
              <w:rPr>
                <w:rFonts w:ascii="Times New Roman" w:hAnsi="Times New Roman"/>
                <w:b w:val="0"/>
                <w:sz w:val="22"/>
              </w:rPr>
              <w:t>7. Critical Equipments</w:t>
            </w:r>
          </w:p>
        </w:tc>
        <w:tc>
          <w:tcPr>
            <w:tcW w:type="dxa" w:w="6048"/>
          </w:tcPr>
          <w:p>
            <w:pPr>
              <w:spacing w:after="0"/>
            </w:pPr>
            <w:r>
              <w:rPr>
                <w:rFonts w:ascii="Times New Roman" w:hAnsi="Times New Roman"/>
                <w:sz w:val="22"/>
              </w:rPr>
              <w:t>The bidder should give a declaration on a non judicial stamp paper of Rs.100/- that he/she is having own/leased along with proof of ownership/lease of the following equipment/ machinery</w:t>
            </w:r>
          </w:p>
          <w:p>
            <w:pPr>
              <w:spacing w:after="0"/>
            </w:pPr>
            <w:r>
              <w:rPr>
                <w:rFonts w:ascii="Times New Roman" w:hAnsi="Times New Roman"/>
                <w:sz w:val="22"/>
              </w:rPr>
              <w:t>{{Equipment 1}}</w:t>
            </w:r>
          </w:p>
          <w:p>
            <w:pPr>
              <w:spacing w:after="0"/>
            </w:pPr>
            <w:r>
              <w:rPr>
                <w:rFonts w:ascii="Times New Roman" w:hAnsi="Times New Roman"/>
                <w:sz w:val="22"/>
              </w:rPr>
              <w:t>{{Equipment 2}}</w:t>
            </w:r>
          </w:p>
          <w:p>
            <w:pPr>
              <w:spacing w:after="0"/>
            </w:pPr>
            <w:r>
              <w:rPr>
                <w:rFonts w:ascii="Times New Roman" w:hAnsi="Times New Roman"/>
                <w:sz w:val="22"/>
              </w:rPr>
              <w:t>{{Equipment 3}}</w:t>
            </w:r>
          </w:p>
          <w:p>
            <w:pPr>
              <w:spacing w:after="0"/>
            </w:pPr>
            <w:r>
              <w:rPr>
                <w:rFonts w:ascii="Times New Roman" w:hAnsi="Times New Roman"/>
                <w:sz w:val="22"/>
              </w:rPr>
              <w:t>b) The bidder who stand first lowest in the bid shall have to submit the MoU as per the following before entering into agreement without fail:</w:t>
            </w:r>
          </w:p>
          <w:p>
            <w:pPr>
              <w:spacing w:after="0"/>
            </w:pPr>
            <w:r>
              <w:rPr>
                <w:rFonts w:ascii="Times New Roman" w:hAnsi="Times New Roman"/>
                <w:sz w:val="22"/>
              </w:rPr>
              <w:t>i. In case of bidder owns/leased a RMC plant, a self declaration on Rs.100/- non judicial stamp paper along with proof of owner ship/lease of the RMC plant.</w:t>
            </w:r>
          </w:p>
          <w:p>
            <w:pPr>
              <w:spacing w:after="0"/>
            </w:pPr>
            <w:r>
              <w:rPr>
                <w:rFonts w:ascii="Times New Roman" w:hAnsi="Times New Roman"/>
                <w:sz w:val="22"/>
              </w:rPr>
              <w:t>ii. In case of bidder doesn’t owns/lease a RMC plant, an MoU with RMC plant owner/firm on Rs.100/- stamp paper as per the prescribed proforma.</w:t>
            </w:r>
          </w:p>
          <w:p>
            <w:pPr>
              <w:spacing w:after="0"/>
            </w:pPr>
            <w:r>
              <w:rPr>
                <w:rFonts w:ascii="Times New Roman" w:hAnsi="Times New Roman"/>
                <w:sz w:val="22"/>
              </w:rPr>
              <w:t>c) The RMC plant shall have valid QCI certificate with regular audits carried as per the norms. However, in case of new RMC plants, if the application is made for QCI certificate the same shall be submitted before entering into agreement.</w:t>
            </w:r>
          </w:p>
        </w:tc>
      </w:tr>
      <w:tr>
        <w:tc>
          <w:tcPr>
            <w:tcW w:type="dxa" w:w="3744"/>
          </w:tcPr>
          <w:p>
            <w:pPr>
              <w:spacing w:after="0" w:before="0"/>
            </w:pPr>
            <w:r>
              <w:rPr>
                <w:rFonts w:ascii="Times New Roman" w:hAnsi="Times New Roman"/>
                <w:b w:val="0"/>
                <w:sz w:val="22"/>
              </w:rPr>
              <w:t>8. Bid Capacity</w:t>
            </w:r>
          </w:p>
        </w:tc>
        <w:tc>
          <w:tcPr>
            <w:tcW w:type="dxa" w:w="6048"/>
          </w:tcPr>
          <w:p>
            <w:pPr>
              <w:spacing w:after="0"/>
            </w:pPr>
            <w:r>
              <w:rPr>
                <w:rFonts w:ascii="Times New Roman" w:hAnsi="Times New Roman"/>
                <w:sz w:val="22"/>
              </w:rPr>
              <w:t>Assessed available Bid Capacity as per formula (3AN-B) should be greater than Rs.{{ECV Lakhs}} Lakhs</w:t>
            </w:r>
          </w:p>
        </w:tc>
      </w:tr>
      <w:tr>
        <w:tc>
          <w:tcPr>
            <w:tcW w:type="dxa" w:w="3744"/>
          </w:tcPr>
          <w:p>
            <w:pPr>
              <w:spacing w:after="0" w:before="0"/>
            </w:pPr>
            <w:r>
              <w:rPr>
                <w:rFonts w:ascii="Times New Roman" w:hAnsi="Times New Roman"/>
                <w:b w:val="0"/>
                <w:sz w:val="22"/>
              </w:rPr>
              <w:t>9. GST Registration</w:t>
            </w:r>
          </w:p>
        </w:tc>
        <w:tc>
          <w:tcPr>
            <w:tcW w:type="dxa" w:w="6048"/>
          </w:tcPr>
          <w:p>
            <w:pPr>
              <w:spacing w:after="0"/>
            </w:pPr>
            <w:r>
              <w:rPr>
                <w:rFonts w:ascii="Times New Roman" w:hAnsi="Times New Roman"/>
                <w:sz w:val="22"/>
              </w:rPr>
              <w:t>Mandatory</w:t>
            </w:r>
          </w:p>
        </w:tc>
      </w:tr>
      <w:tr>
        <w:tc>
          <w:tcPr>
            <w:tcW w:type="dxa" w:w="3744"/>
          </w:tcPr>
          <w:p>
            <w:pPr>
              <w:spacing w:after="0" w:before="0"/>
            </w:pPr>
            <w:r>
              <w:rPr>
                <w:rFonts w:ascii="Times New Roman" w:hAnsi="Times New Roman"/>
                <w:b w:val="0"/>
                <w:sz w:val="22"/>
              </w:rPr>
              <w:t>10. Pan Card, IT Returns latest</w:t>
            </w:r>
          </w:p>
        </w:tc>
        <w:tc>
          <w:tcPr>
            <w:tcW w:type="dxa" w:w="6048"/>
          </w:tcPr>
          <w:p>
            <w:pPr>
              <w:spacing w:after="0"/>
            </w:pPr>
            <w:r>
              <w:rPr>
                <w:rFonts w:ascii="Times New Roman" w:hAnsi="Times New Roman"/>
                <w:sz w:val="22"/>
              </w:rPr>
              <w:t>Mandatory</w:t>
            </w:r>
          </w:p>
        </w:tc>
      </w:tr>
      <w:tr>
        <w:tc>
          <w:tcPr>
            <w:tcW w:type="dxa" w:w="3744"/>
          </w:tcPr>
          <w:p>
            <w:pPr>
              <w:spacing w:after="0" w:before="0"/>
            </w:pPr>
            <w:r>
              <w:rPr>
                <w:rFonts w:ascii="Times New Roman" w:hAnsi="Times New Roman"/>
                <w:b w:val="0"/>
                <w:sz w:val="22"/>
              </w:rPr>
              <w:t>11. Turnover Certificate, Certified by CA</w:t>
            </w:r>
          </w:p>
        </w:tc>
        <w:tc>
          <w:tcPr>
            <w:tcW w:type="dxa" w:w="6048"/>
          </w:tcPr>
          <w:p>
            <w:pPr>
              <w:spacing w:after="0"/>
            </w:pPr>
            <w:r>
              <w:rPr>
                <w:rFonts w:ascii="Times New Roman" w:hAnsi="Times New Roman"/>
                <w:sz w:val="22"/>
              </w:rPr>
              <w:t>Mandatory</w:t>
            </w:r>
          </w:p>
        </w:tc>
      </w:tr>
    </w:tbl>
    <w:p>
      <w:pPr>
        <w:jc w:val="center"/>
        <w:spacing w:after="200"/>
      </w:pPr>
      <w:r>
        <w:rPr>
          <w:rFonts w:ascii="Times New Roman" w:hAnsi="Times New Roman" w:cs="Times New Roman"/>
          <w:sz w:val="22"/>
          <w:sz-cs w:val="22"/>
        </w:rPr>
        <w:t xml:space="preserve"/>
      </w:r>
    </w:p>
    <w:p>
      <w:pPr>
        <w:spacing w:after="200"/>
      </w:pPr>
      <w:r>
        <w:rPr>
          <w:rFonts w:ascii="Times New Roman" w:hAnsi="Times New Roman" w:cs="Times New Roman"/>
          <w:sz w:val="22"/>
          <w:sz-cs w:val="22"/>
          <w:b/>
        </w:rPr>
        <w:t xml:space="preserve">Note: The work is put to Tender as per   G. O. MS No. </w:t>
      </w:r>
      <w:r>
        <w:rPr>
          <w:rFonts w:ascii="Times New Roman" w:hAnsi="Times New Roman" w:cs="Times New Roman"/>
          <w:sz w:val="22"/>
          <w:sz-cs w:val="22"/>
          <w:b/>
        </w:rPr>
        <w:t xml:space="preserve">{{GO MS No}}</w:t>
      </w:r>
      <w:r>
        <w:rPr>
          <w:rFonts w:ascii="Times New Roman" w:hAnsi="Times New Roman" w:cs="Times New Roman"/>
          <w:sz w:val="22"/>
          <w:sz-cs w:val="22"/>
        </w:rPr>
        <w:t xml:space="preserve"/>
      </w:r>
    </w:p>
    <w:p>
      <w:pPr>
        <w:jc w:val="both"/>
        <w:spacing w:after="200"/>
      </w:pPr>
      <w:r>
        <w:rPr>
          <w:rFonts w:ascii="Times New Roman" w:hAnsi="Times New Roman" w:cs="Times New Roman"/>
          <w:sz w:val="20"/>
          <w:sz-cs w:val="20"/>
          <w:b/>
          <w:color w:val="000000"/>
        </w:rPr>
        <w:t xml:space="preserve"/>
        <w:tab/>
        <w:t xml:space="preserve"/>
        <w:tab/>
        <w:t xml:space="preserve"/>
        <w:tab/>
        <w:t xml:space="preserve"/>
        <w:tab/>
        <w:t xml:space="preserve">  </w:t>
      </w:r>
    </w:p>
    <w:p>
      <w:pPr>
        <w:jc w:val="both"/>
        <w:ind w:left="360"/>
        <w:spacing w:after="200"/>
      </w:pPr>
      <w:r>
        <w:rPr>
          <w:rFonts w:ascii="Times New Roman" w:hAnsi="Times New Roman" w:cs="Times New Roman"/>
          <w:sz w:val="24"/>
          <w:sz-cs w:val="24"/>
        </w:rPr>
        <w:t xml:space="preserve">3. The proposed eligibility criteria for the above work is herewith put up for your kind perusal and approval.</w:t>
      </w:r>
      <w:r>
        <w:rPr>
          <w:rFonts w:ascii="Times New Roman" w:hAnsi="Times New Roman" w:cs="Times New Roman"/>
          <w:sz w:val="24"/>
          <w:sz-cs w:val="24"/>
          <w:b/>
          <w:color w:val="000000"/>
        </w:rPr>
        <w:t xml:space="preserve"/>
      </w:r>
    </w:p>
    <w:p>
      <w:pPr>
        <w:jc w:val="both"/>
        <w:spacing w:after="200"/>
      </w:pPr>
      <w:r>
        <w:rPr>
          <w:rFonts w:ascii="Times New Roman" w:hAnsi="Times New Roman" w:cs="Times New Roman"/>
          <w:sz w:val="24"/>
          <w:sz-cs w:val="24"/>
          <w:b/>
          <w:color w:val="000000"/>
        </w:rPr>
        <w:t xml:space="preserve"/>
      </w:r>
    </w:p>
    <w:p>
      <w:pPr>
        <w:jc w:val="both"/>
        <w:spacing w:after="200"/>
      </w:pPr>
      <w:r>
        <w:rPr>
          <w:rFonts w:ascii="Times New Roman" w:hAnsi="Times New Roman" w:cs="Times New Roman"/>
          <w:sz w:val="24"/>
          <w:sz-cs w:val="24"/>
          <w:b/>
          <w:color w:val="000000"/>
        </w:rPr>
        <w:t xml:space="preserve">                   </w:t>
      </w:r>
    </w:p>
    <w:p>
      <w:pPr>
        <w:jc w:val="both"/>
        <w:spacing w:after="200"/>
      </w:pPr>
      <w:r>
        <w:rPr>
          <w:rFonts w:ascii="Times New Roman" w:hAnsi="Times New Roman" w:cs="Times New Roman"/>
          <w:sz w:val="24"/>
          <w:sz-cs w:val="24"/>
          <w:b/>
          <w:color w:val="000000"/>
        </w:rPr>
        <w:t xml:space="preserve"/>
      </w:r>
    </w:p>
    <w:p>
      <w:pPr>
        <w:jc w:val="both"/>
        <w:spacing w:after="200"/>
      </w:pPr>
      <w:r>
        <w:rPr>
          <w:rFonts w:ascii="Times New Roman" w:hAnsi="Times New Roman" w:cs="Times New Roman"/>
          <w:sz w:val="24"/>
          <w:sz-cs w:val="24"/>
          <w:b/>
          <w:color w:val="000000"/>
        </w:rPr>
        <w:t xml:space="preserve"/>
      </w:r>
    </w:p>
    <w:tbl>
      <w:tblPr>
        <w:tblW w:type="dxa" w:w="864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400"/>
        <w:gridCol w:w="3240"/>
      </w:tblGrid>
      <w:tr>
        <w:tc>
          <w:tcPr>
            <w:tcW w:type="dxa" w:w="5400"/>
          </w:tcPr>
          <w:p>
            <w:pPr>
              <w:spacing w:after="200"/>
            </w:pPr>
          </w:p>
        </w:tc>
        <w:tc>
          <w:tcPr>
            <w:tcW w:type="dxa" w:w="3240"/>
          </w:tcPr>
          <w:p>
            <w:pPr>
              <w:jc w:val="center"/>
            </w:pPr>
            <w:r>
              <w:rPr>
                <w:rFonts w:ascii="Times New Roman" w:hAnsi="Times New Roman" w:cs="Times New Roman"/>
                <w:sz w:val="24"/>
                <w:sz-cs w:val="24"/>
                <w:b/>
                <w:color w:val="000000"/>
              </w:rPr>
              <w:t xml:space="preserve">Superintending Engineer</w:t>
            </w:r>
          </w:p>
          <w:p>
            <w:pPr>
              <w:jc w:val="center"/>
              <w:spacing w:after="200"/>
            </w:pPr>
            <w:r>
              <w:rPr>
                <w:rFonts w:ascii="Times New Roman" w:hAnsi="Times New Roman" w:cs="Times New Roman"/>
                <w:sz w:val="24"/>
                <w:sz-cs w:val="24"/>
                <w:b/>
                <w:color w:val="000000"/>
              </w:rPr>
              <w:t xml:space="preserve">{{Zone}} Zone, {{Corporation}}</w:t>
            </w:r>
          </w:p>
        </w:tc>
      </w:tr>
    </w:tbl>
    <w:sectPr>
      <w:pgSz w:w="12240" w:h="15840"/>
      <w:pgMar w:top="1440" w:right="1152" w:bottom="1440" w:left="1152"/>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Engg-25</dc:creator>
  <cp:keywords/>
  <cp:lastModifiedBy>Admin</cp:lastModifiedBy>
  <dcterms:created>2021-04-07T15:58:00Z</dcterms:created>
  <dcterms:modified>2021-04-07T15:58:00Z</dcterms:modified>
</cp:coreProperties>
</file>

<file path=docProps/meta.xml><?xml version="1.0" encoding="utf-8"?>
<meta xmlns="http://schemas.apple.com/cocoa/2006/metadata">
  <generator>CocoaOOXMLWriter/2685.7</generator>
</meta>
</file>