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sz w:val="28"/>
          <w:u w:val="none"/>
          <w:rFonts w:ascii="Times New Roman" w:hAnsi="Times New Roman" w:cs="Times New Roman"/>
        </w:rPr>
        <w:t>{{Corp Full Caps}}</w:t>
      </w:r>
    </w:p>
    <w:p>
      <w:pPr>
        <w:spacing w:before="0" w:after="0" w:line="240" w:lineRule="auto"/>
        <w:jc w:val="right"/>
      </w:pPr>
      <w:r>
        <w:rPr>
          <w:b/>
          <w:i w:val="0"/>
          <w:sz w:val="19"/>
          <w:u w:val="none"/>
          <w:rFonts w:ascii="Times New Roman" w:hAnsi="Times New Roman" w:cs="Times New Roman"/>
        </w:rPr>
        <w:t>O/o the Superintending Engineer (M)</w:t>
      </w:r>
    </w:p>
    <w:p>
      <w:pPr>
        <w:spacing w:before="0" w:after="0" w:line="240" w:lineRule="auto"/>
        <w:jc w:val="right"/>
      </w:pPr>
      <w:r>
        <w:rPr>
          <w:b/>
          <w:i w:val="0"/>
          <w:sz w:val="19"/>
          <w:u w:val="none"/>
          <w:rFonts w:ascii="Times New Roman" w:hAnsi="Times New Roman" w:cs="Times New Roman"/>
        </w:rPr>
        <w:t>{{Zone}} Zone, {{Corporation}}, Hyderabad.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0"/>
        <w:gridCol w:w="2592"/>
      </w:tblGrid>
      <w:tr>
        <w:tc>
          <w:tcPr>
            <w:tcW w:type="dxa" w:w="720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LOA  Letter No.    {{Intimation Lr No}}</w:t>
            </w:r>
          </w:p>
        </w:tc>
        <w:tc>
          <w:tcPr>
            <w:tcW w:type="dxa" w:w="2592"/>
          </w:tcPr>
          <w:p>
            <w:pPr>
              <w:spacing w:after="0" w:before="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Date:  {{LOA Date}}</w:t>
            </w:r>
          </w:p>
        </w:tc>
      </w:tr>
    </w:tbl>
    <w:p>
      <w:pPr>
        <w:spacing w:after="20" w:before="20"/>
      </w:pPr>
    </w:p>
    <w:p>
      <w:pPr>
        <w:spacing w:before="0" w:after="60" w:line="240" w:lineRule="auto"/>
        <w:jc w:val="center"/>
      </w:pPr>
      <w:r>
        <w:rPr>
          <w:b w:val="0"/>
          <w:i w:val="0"/>
          <w:u w:val="single"/>
          <w:rFonts w:ascii="Times New Roman" w:hAnsi="Times New Roman" w:cs="Times New Roman"/>
        </w:rPr>
        <w:t>LETTER OF ACCEPTANCE</w:t>
      </w:r>
    </w:p>
    <w:p>
      <w:pPr>
        <w:spacing w:before="0" w:after="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To</w:t>
      </w:r>
    </w:p>
    <w:p>
      <w:pPr>
        <w:spacing w:before="0" w:after="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{{Agency Name}},</w:t>
      </w:r>
    </w:p>
    <w:p>
      <w:pPr>
        <w:spacing w:before="0" w:after="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{{Address of the agency}}</w:t>
      </w:r>
    </w:p>
    <w:p>
      <w:pPr>
        <w:spacing w:before="0" w:after="6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Ph: {{agency phone number}}</w:t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Gentleman,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8784"/>
      </w:tblGrid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Sub: -</w:t>
            </w:r>
          </w:p>
        </w:tc>
        <w:tc>
          <w:tcPr>
            <w:tcW w:type="dxa" w:w="878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{{Corporation}} – SE-(M) – {{Zone Abbr}} – “{{Name of the work}}” {{Reserved Tag}}- Intimation Letter issued – Reg.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504"/>
        <w:gridCol w:w="8280"/>
      </w:tblGrid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Ref: -</w:t>
            </w:r>
          </w:p>
        </w:tc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1.</w:t>
            </w:r>
          </w:p>
        </w:tc>
        <w:tc>
          <w:tcPr>
            <w:tcW w:type="dxa" w:w="828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NIT No. {{Nit No}} (Item No.{{Item No}}), Date: {{Nit Date}}. Tender ID:{{Tender ID}}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2)</w:t>
            </w:r>
          </w:p>
        </w:tc>
        <w:tc>
          <w:tcPr>
            <w:tcW w:type="dxa" w:w="828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Price bid opened on dated: {{Price Bid opening date}}</w:t>
            </w:r>
          </w:p>
        </w:tc>
      </w:tr>
    </w:tbl>
    <w:p>
      <w:pPr>
        <w:spacing w:before="0" w:after="20" w:line="240" w:lineRule="auto"/>
        <w:jc w:val="center"/>
      </w:pPr>
      <w:r>
        <w:rPr>
          <w:b w:val="0"/>
          <w:i w:val="0"/>
          <w:u w:val="none"/>
          <w:rFonts w:ascii="Times New Roman" w:hAnsi="Times New Roman" w:cs="Times New Roman"/>
        </w:rPr>
        <w:t>*** ** ***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168"/>
        <w:gridCol w:w="432"/>
        <w:gridCol w:w="3312"/>
      </w:tblGrid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Admin. Sanction Value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Rs.{{Admin Sanction Value}}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Estimate Contract Value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Rs.{{ECV}}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Tender Percentage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(-) {{Tender Percentage}} % Less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Tender Contract Value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Rs.{{Contract Amount}}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Period of Completion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{{Period of Completion}}</w:t>
            </w:r>
          </w:p>
        </w:tc>
      </w:tr>
    </w:tbl>
    <w:p>
      <w:pPr>
        <w:spacing w:before="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Your are here by informed that your bid for execution of the work “{{Name of the work}}” @ (-) {{Tender Percentage}}% Less on estimate contract value i.e., Rs.{{ECV}} with a tender Contract Value of Rs.{{Contract Amount}} (Rupees {{Contract In Words}} only) is accepted as per the terms and condition of Tender Document.</w:t>
      </w:r>
    </w:p>
    <w:p>
      <w:pPr>
        <w:spacing w:before="0" w:after="2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You are here by requested to attend personally in to this office within 7 (seven) days for concluding the agreement with the following documents as follows.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9072"/>
      </w:tblGrid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e-Corpus Fund for Rs.{{E-Corpus}}/- in favour of Managing Director, TSTS, Hyd online payment receipt should submit at the time of entering the Agreement. Non-Judicial stamp paper worth of Rs.100/- and produce the original certificates of the uploaded documents for verification.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A MoU with an owned/leased RMC plant must be submitted, along with a self-declaration on ₹100 non-judicial stamp paper, proof of ownership/lease of the RMC plant as per the given proforma, and the QCI certificate.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Programme for completion of the work within 3 (Three) Months.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work shall be commenced and completed within the agreement period.</w:t>
            </w:r>
          </w:p>
        </w:tc>
      </w:tr>
    </w:tbl>
    <w:p>
      <w:pPr>
        <w:spacing w:before="2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The agreement shall be concluded within 7 Days. Please note that if you fail to conclude the agreement within 7 Days, suitable action will be initiated as per APDSS and Clauses of Terms &amp; Conditions of Tender document and you may be recommended for suspending from participating in the tenders on e-procurement platform for a period of 3 years as per GO Ms No 174 of I&amp;CAD (PW-Reforms) Department Dated 01-09-2008, subject to modification accepted by competent authority. No EoAT shall be sanctioned for in-ordinate delays as per clause – 59 (APDSS).</w:t>
      </w:r>
    </w:p>
    <w:p>
      <w:pPr>
        <w:spacing w:before="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 xml:space="preserve">Note: </w:t>
      </w:r>
      <w:r>
        <w:rPr>
          <w:b w:val="0"/>
          <w:i w:val="0"/>
          <w:u w:val="none"/>
          <w:rFonts w:ascii="Times New Roman" w:hAnsi="Times New Roman" w:cs="Times New Roman"/>
        </w:rPr>
        <w:t>The LOA issuance is subject to verification of certain documents uploaded by you online and incase if any document is found to be false or  fabricated ,the 1% EMD paid online shall be forfeited and necessary action shall be initiated as per the rules in vogue.</w:t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 xml:space="preserve"/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 xml:space="preserve"/>
      </w:r>
    </w:p>
    <w:p>
      <w:pPr>
        <w:spacing w:before="20" w:after="0" w:line="240" w:lineRule="auto"/>
        <w:jc w:val="right"/>
      </w:pPr>
      <w:r>
        <w:rPr>
          <w:b/>
          <w:i w:val="0"/>
          <w:u w:val="none"/>
          <w:rFonts w:ascii="Times New Roman" w:hAnsi="Times New Roman" w:cs="Times New Roman"/>
        </w:rPr>
        <w:t>Superintending Engineer,</w:t>
      </w:r>
    </w:p>
    <w:p>
      <w:pPr>
        <w:spacing w:before="0" w:after="60" w:line="240" w:lineRule="auto"/>
        <w:jc w:val="right"/>
      </w:pPr>
      <w:r>
        <w:rPr>
          <w:b/>
          <w:i w:val="0"/>
          <w:u w:val="none"/>
          <w:rFonts w:ascii="Times New Roman" w:hAnsi="Times New Roman" w:cs="Times New Roman"/>
        </w:rPr>
        <w:t>{{Zone}} Zone, {{Corporation}}.</w:t>
      </w:r>
    </w:p>
    <w:p>
      <w:pPr>
        <w:spacing w:before="0" w:after="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Copy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48"/>
        <w:gridCol w:w="9144"/>
      </w:tblGrid>
      <w:t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1)</w:t>
            </w:r>
          </w:p>
        </w:tc>
        <w:tc>
          <w:tcPr>
            <w:tcW w:type="dxa" w:w="914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Deputy Commissioner, {{Circle Line}}, {{Zone Abbr}}, {{Corporation}}.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2)</w:t>
            </w:r>
          </w:p>
        </w:tc>
        <w:tc>
          <w:tcPr>
            <w:tcW w:type="dxa" w:w="914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Executive Engineer, {{Circle Line}}, {{Corporation}} to take necessary action on the following: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576"/>
        <w:gridCol w:w="7920"/>
      </w:tblGrid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i.</w:t>
            </w:r>
          </w:p>
        </w:tc>
        <w:tc>
          <w:tcPr>
            <w:tcW w:type="dxa" w:w="79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Shall ensure that the taxes to be deducted are carefully recovered from the bidder.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ii.</w:t>
            </w:r>
          </w:p>
        </w:tc>
        <w:tc>
          <w:tcPr>
            <w:tcW w:type="dxa" w:w="79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As per the instructions of the Commissioner, {{Corporation}} get the periodical inspection with QCC Wing to ensure the quality of the work.</w:t>
            </w:r>
          </w:p>
        </w:tc>
      </w:tr>
    </w:tbl>
    <w:sectPr w:rsidR="00FC693F" w:rsidRPr="0006063C" w:rsidSect="00034616">
      <w:pgSz w:w="12240" w:h="20160"/>
      <w:pgMar w:top="648" w:right="1224" w:bottom="64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