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LeafSense: Edge AI Leaf Disease &amp; Localized Pest Forecaster</w:t>
      </w:r>
    </w:p>
    <w:p>
      <w:pPr/>
      <w:r>
        <w:t xml:space="preserve">Hackathon Problem Statement 04. Three documents in one: Part A is the Problem Statement Document (PSD), Part B is the Design Doc (UI/UX, Apple Liquid Glass), Part C is the Tech Doc.</w:t>
      </w:r>
    </w:p>
    <w:p>
      <w:pPr>
        <w:pStyle w:val="Heading2"/>
      </w:pPr>
      <w:r>
        <w:t xml:space="preserve">Part A: Problem Statement Document (PSD)</w:t>
      </w:r>
    </w:p>
    <w:p>
      <w:pPr>
        <w:pStyle w:val="Heading3"/>
      </w:pPr>
      <w:r>
        <w:t xml:space="preserve">A1. One-line pitch</w:t>
      </w:r>
    </w:p>
    <w:p>
      <w:pPr/>
      <w:r>
        <w:t xml:space="preserve">LeafSense lives on a farmer's phone: it diagnoses a leaf in under a second with no internet, then warns the whole village about the pest or disease outbreak that is likely to hit next, down to a 1 km cell.</w:t>
      </w:r>
    </w:p>
    <w:p>
      <w:pPr>
        <w:pStyle w:val="Heading3"/>
      </w:pPr>
      <w:r>
        <w:t xml:space="preserve">A2. The problem</w:t>
      </w:r>
    </w:p>
    <w:p>
      <w:pPr/>
      <w:r>
        <w:t xml:space="preserve">The official brief: develop an AI model to detect plant leaf diseases from images and forecast localized pest and disease outbreaks using environmental data, to support early intervention in agriculture.</w:t>
      </w:r>
    </w:p>
    <w:p>
      <w:pPr/>
      <w:r>
        <w:t xml:space="preserve">What that means on the ground:</w:t>
      </w:r>
    </w:p>
    <w:p>
      <w:pPr>
        <w:pStyle w:val="ListParagraph"/>
        <w:numPr>
          <w:ilvl w:val="0"/>
          <w:numId w:val="2"/>
        </w:numPr>
      </w:pPr>
      <w:r>
        <w:t xml:space="preserve">Smallholder farmers usually spot disease late, after yield loss has started.</w:t>
      </w:r>
    </w:p>
    <w:p>
      <w:pPr>
        <w:pStyle w:val="ListParagraph"/>
        <w:numPr>
          <w:ilvl w:val="0"/>
          <w:numId w:val="2"/>
        </w:numPr>
      </w:pPr>
      <w:r>
        <w:t xml:space="preserve">Advisory services are slow, generic (district-level) and often not in the farmer's language.</w:t>
      </w:r>
    </w:p>
    <w:p>
      <w:pPr>
        <w:pStyle w:val="ListParagraph"/>
        <w:numPr>
          <w:ilvl w:val="0"/>
          <w:numId w:val="2"/>
        </w:numPr>
      </w:pPr>
      <w:r>
        <w:t xml:space="preserve">Rural connectivity is patchy, so cloud-only AI fails exactly where it is needed.</w:t>
      </w:r>
    </w:p>
    <w:p>
      <w:pPr>
        <w:pStyle w:val="ListParagraph"/>
        <w:numPr>
          <w:ilvl w:val="0"/>
          <w:numId w:val="2"/>
        </w:numPr>
      </w:pPr>
      <w:r>
        <w:t xml:space="preserve">Pest and disease outbreaks are spatial and weather-driven. A single farm's photo is a data point; a village's photos plus weather are an early-warning system.</w:t>
      </w:r>
    </w:p>
    <w:p>
      <w:pPr>
        <w:pStyle w:val="ListParagraph"/>
        <w:numPr>
          <w:ilvl w:val="0"/>
          <w:numId w:val="2"/>
        </w:numPr>
      </w:pPr>
      <w:r>
        <w:t xml:space="preserve">Over-spraying is costly and harmful. A wrong or overconfident diagnosis leads to wrong pesticide use.</w:t>
      </w:r>
    </w:p>
    <w:p>
      <w:pPr>
        <w:pStyle w:val="Heading3"/>
      </w:pPr>
      <w:r>
        <w:t xml:space="preserve">A3. Target users</w:t>
      </w:r>
    </w:p>
    <w:tbl>
      <w:tblPr>
        <w:tblStyle w:val="TableGrid"/>
        <w:tblW w:w="0" w:type="auto"/>
        <w:tblLayout w:type="fixed"/>
        <w:tblLook w:val="04A0" w:firstRow="1" w:lastRow="0" w:firstColumn="0" w:lastColumn="0" w:noHBand="0" w:noVBand="1"/>
      </w:tblPr>
      <w:tblGrid>
        <w:gridCol w:w="2230"/>
        <w:gridCol w:w="3045"/>
        <w:gridCol w:w="4083"/>
      </w:tblGrid>
      <w:tr>
        <w:trPr>
          <w:tblHeader/>
        </w:trPr>
        <w:tc>
          <w:tcPr>
            <w:tcW w:w="2230" w:type="dxa"/>
            <w:shd w:val="clear" w:color="auto" w:fill="F2F2F2"/>
          </w:tcPr>
          <w:p>
            <w:pPr/>
            <w:r>
              <w:t xml:space="preserve">User</w:t>
            </w:r>
          </w:p>
        </w:tc>
        <w:tc>
          <w:tcPr>
            <w:tcW w:w="3045" w:type="dxa"/>
            <w:shd w:val="clear" w:color="auto" w:fill="F2F2F2"/>
          </w:tcPr>
          <w:p>
            <w:pPr/>
            <w:r>
              <w:t xml:space="preserve">Need</w:t>
            </w:r>
          </w:p>
        </w:tc>
        <w:tc>
          <w:tcPr>
            <w:tcW w:w="4083" w:type="dxa"/>
            <w:shd w:val="clear" w:color="auto" w:fill="F2F2F2"/>
          </w:tcPr>
          <w:p>
            <w:pPr/>
            <w:r>
              <w:t xml:space="preserve">Success looks like</w:t>
            </w:r>
          </w:p>
        </w:tc>
      </w:tr>
      <w:tr>
        <w:tc>
          <w:tcPr>
            <w:tcW w:w="2230" w:type="dxa"/>
          </w:tcPr>
          <w:p>
            <w:pPr/>
            <w:r>
              <w:t xml:space="preserve">Smallholder farmer (primary)</w:t>
            </w:r>
          </w:p>
        </w:tc>
        <w:tc>
          <w:tcPr>
            <w:tcW w:w="3045" w:type="dxa"/>
          </w:tcPr>
          <w:p>
            <w:pPr/>
            <w:r>
              <w:t xml:space="preserve">Know what is wrong with the crop and what to do today</w:t>
            </w:r>
          </w:p>
        </w:tc>
        <w:tc>
          <w:tcPr>
            <w:tcW w:w="4083" w:type="dxa"/>
          </w:tcPr>
          <w:p>
            <w:pPr/>
            <w:r>
              <w:t xml:space="preserve">Scan, diagnosis, action in under 10 seconds, offline, in own language</w:t>
            </w:r>
          </w:p>
        </w:tc>
      </w:tr>
      <w:tr>
        <w:tc>
          <w:tcPr>
            <w:tcW w:w="2230" w:type="dxa"/>
          </w:tcPr>
          <w:p>
            <w:pPr/>
            <w:r>
              <w:t xml:space="preserve">Village agri-volunteer / FPO</w:t>
            </w:r>
          </w:p>
        </w:tc>
        <w:tc>
          <w:tcPr>
            <w:tcW w:w="3045" w:type="dxa"/>
          </w:tcPr>
          <w:p>
            <w:pPr/>
            <w:r>
              <w:t xml:space="preserve">See which fields are at risk this week</w:t>
            </w:r>
          </w:p>
        </w:tc>
        <w:tc>
          <w:tcPr>
            <w:tcW w:w="4083" w:type="dxa"/>
          </w:tcPr>
          <w:p>
            <w:pPr/>
            <w:r>
              <w:t xml:space="preserve">One map, ranked alerts, shareable advisories</w:t>
            </w:r>
          </w:p>
        </w:tc>
      </w:tr>
      <w:tr>
        <w:tc>
          <w:tcPr>
            <w:tcW w:w="2230" w:type="dxa"/>
          </w:tcPr>
          <w:p>
            <w:pPr/>
            <w:r>
              <w:t xml:space="preserve">Extension officer / agri department</w:t>
            </w:r>
          </w:p>
        </w:tc>
        <w:tc>
          <w:tcPr>
            <w:tcW w:w="3045" w:type="dxa"/>
          </w:tcPr>
          <w:p>
            <w:pPr/>
            <w:r>
              <w:t xml:space="preserve">Detect outbreaks early across a block</w:t>
            </w:r>
          </w:p>
        </w:tc>
        <w:tc>
          <w:tcPr>
            <w:tcW w:w="4083" w:type="dxa"/>
          </w:tcPr>
          <w:p>
            <w:pPr/>
            <w:r>
              <w:t xml:space="preserve">Aggregated hotspot dashboard with anonymised reports</w:t>
            </w:r>
          </w:p>
        </w:tc>
      </w:tr>
    </w:tbl>
    <w:p>
      <w:pPr>
        <w:pStyle w:val="Heading3"/>
      </w:pPr>
      <w:r>
        <w:t xml:space="preserve">A4. Scope</w:t>
      </w:r>
    </w:p>
    <w:p>
      <w:pPr/>
      <w:r>
        <w:t xml:space="preserve">In scope for the hackathon build:</w:t>
      </w:r>
    </w:p>
    <w:p>
      <w:pPr>
        <w:pStyle w:val="ListParagraph"/>
        <w:numPr>
          <w:ilvl w:val="0"/>
          <w:numId w:val="3"/>
        </w:numPr>
      </w:pPr>
      <w:r>
        <w:t xml:space="preserve">On-device leaf disease classification for a focused crop set (suggested: tomato, potato, cotton, groundnut, wheat, rice, chosen to match data availability and local relevance).</w:t>
      </w:r>
    </w:p>
    <w:p>
      <w:pPr>
        <w:pStyle w:val="ListParagraph"/>
        <w:numPr>
          <w:ilvl w:val="0"/>
          <w:numId w:val="3"/>
        </w:numPr>
      </w:pPr>
      <w:r>
        <w:t xml:space="preserve">Confidence calibration and an explicit "not sure / not a leaf / unsupported crop" path.</w:t>
      </w:r>
    </w:p>
    <w:p>
      <w:pPr>
        <w:pStyle w:val="ListParagraph"/>
        <w:numPr>
          <w:ilvl w:val="0"/>
          <w:numId w:val="3"/>
        </w:numPr>
      </w:pPr>
      <w:r>
        <w:t xml:space="preserve">Localized risk forecast (next 3 to 7 days) per 1 km cell using weather, crop stage, and community scan reports.</w:t>
      </w:r>
    </w:p>
    <w:p>
      <w:pPr>
        <w:pStyle w:val="ListParagraph"/>
        <w:numPr>
          <w:ilvl w:val="0"/>
          <w:numId w:val="3"/>
        </w:numPr>
      </w:pPr>
      <w:r>
        <w:t xml:space="preserve">Offline-first PWA with multilingual UI (English, Hindi, Gujarati) and voice read-out.</w:t>
      </w:r>
    </w:p>
    <w:p>
      <w:pPr>
        <w:pStyle w:val="ListParagraph"/>
        <w:numPr>
          <w:ilvl w:val="0"/>
          <w:numId w:val="3"/>
        </w:numPr>
      </w:pPr>
      <w:r>
        <w:t xml:space="preserve">Actionable advisory (integrated pest management first, chemical last) and a feedback loop.</w:t>
      </w:r>
    </w:p>
    <w:p>
      <w:pPr/>
      <w:r>
        <w:t xml:space="preserve">Out of scope: drone imagery, soil sensors, marketplace, payments.</w:t>
      </w:r>
    </w:p>
    <w:p>
      <w:pPr>
        <w:pStyle w:val="Heading3"/>
      </w:pPr>
      <w:r>
        <w:t xml:space="preserve">A5. Differentiators (why this wins)</w:t>
      </w:r>
    </w:p>
    <w:p>
      <w:pPr>
        <w:pStyle w:val="ListParagraph"/>
        <w:numPr>
          <w:ilvl w:val="0"/>
          <w:numId w:val="4"/>
        </w:numPr>
      </w:pPr>
      <w:r>
        <w:rPr>
          <w:b/>
        </w:rPr>
        <w:t xml:space="preserve">True edge AI</w:t>
      </w:r>
      <w:r>
        <w:t xml:space="preserve">: model runs in the browser or phone, so airplane-mode demo works. Judges can switch off Wi-Fi live.</w:t>
      </w:r>
    </w:p>
    <w:p>
      <w:pPr>
        <w:pStyle w:val="ListParagraph"/>
        <w:numPr>
          <w:ilvl w:val="0"/>
          <w:numId w:val="4"/>
        </w:numPr>
      </w:pPr>
      <w:r>
        <w:rPr>
          <w:b/>
        </w:rPr>
        <w:t xml:space="preserve">Honest AI</w:t>
      </w:r>
      <w:r>
        <w:t xml:space="preserve">: calibrated confidence, out-of-distribution rejection, and Grad-CAM heatmaps showing where the model looked.</w:t>
      </w:r>
    </w:p>
    <w:p>
      <w:pPr>
        <w:pStyle w:val="ListParagraph"/>
        <w:numPr>
          <w:ilvl w:val="0"/>
          <w:numId w:val="4"/>
        </w:numPr>
      </w:pPr>
      <w:r>
        <w:rPr>
          <w:b/>
        </w:rPr>
        <w:t xml:space="preserve">Two-layer intelligence</w:t>
      </w:r>
      <w:r>
        <w:t xml:space="preserve">: vision (what is wrong now) plus forecasting (what will go wrong next), joined by a community signal.</w:t>
      </w:r>
    </w:p>
    <w:p>
      <w:pPr>
        <w:pStyle w:val="ListParagraph"/>
        <w:numPr>
          <w:ilvl w:val="0"/>
          <w:numId w:val="4"/>
        </w:numPr>
      </w:pPr>
      <w:r>
        <w:rPr>
          <w:b/>
        </w:rPr>
        <w:t xml:space="preserve">Privacy-preserving crowd sensing</w:t>
      </w:r>
      <w:r>
        <w:t xml:space="preserve">: only disease label, confidence and a coarse geohash leave the device, never the photo by default.</w:t>
      </w:r>
    </w:p>
    <w:p>
      <w:pPr>
        <w:pStyle w:val="ListParagraph"/>
        <w:numPr>
          <w:ilvl w:val="0"/>
          <w:numId w:val="4"/>
        </w:numPr>
      </w:pPr>
      <w:r>
        <w:rPr>
          <w:b/>
        </w:rPr>
        <w:t xml:space="preserve">Farmer-first UX</w:t>
      </w:r>
      <w:r>
        <w:t xml:space="preserve">: icon-led, voice-first, large targets, vernacular. Wrapped in a premium Liquid Glass interface that makes it feel like a flagship product.</w:t>
      </w:r>
    </w:p>
    <w:p>
      <w:pPr>
        <w:pStyle w:val="ListParagraph"/>
        <w:numPr>
          <w:ilvl w:val="0"/>
          <w:numId w:val="4"/>
        </w:numPr>
      </w:pPr>
      <w:r>
        <w:rPr>
          <w:b/>
        </w:rPr>
        <w:t xml:space="preserve">Measurable</w:t>
      </w:r>
      <w:r>
        <w:t xml:space="preserve">: published evaluation protocol, field-image test set, calibration curves, latency numbers.</w:t>
      </w:r>
    </w:p>
    <w:p>
      <w:pPr>
        <w:pStyle w:val="Heading3"/>
      </w:pPr>
      <w:r>
        <w:t xml:space="preserve">A6. Success metrics and targets</w:t>
      </w:r>
    </w:p>
    <w:p>
      <w:pPr/>
      <w:r>
        <w:t xml:space="preserve">These are targets to be verified in your own evaluation, not claims. Report what you actually measure.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Metric</w:t>
            </w:r>
          </w:p>
        </w:tc>
        <w:tc>
          <w:tcPr>
            <w:tcW w:w="4920" w:type="dxa"/>
            <w:shd w:val="clear" w:color="auto" w:fill="F2F2F2"/>
          </w:tcPr>
          <w:p>
            <w:pPr/>
            <w:r>
              <w:t xml:space="preserve">Target</w:t>
            </w:r>
          </w:p>
        </w:tc>
      </w:tr>
      <w:tr>
        <w:tc>
          <w:tcPr>
            <w:tcW w:w="4440" w:type="dxa"/>
          </w:tcPr>
          <w:p>
            <w:pPr/>
            <w:r>
              <w:t xml:space="preserve">Model size (int8)</w:t>
            </w:r>
          </w:p>
        </w:tc>
        <w:tc>
          <w:tcPr>
            <w:tcW w:w="4920" w:type="dxa"/>
          </w:tcPr>
          <w:p>
            <w:pPr/>
            <w:r>
              <w:t xml:space="preserve">under 10 MB</w:t>
            </w:r>
          </w:p>
        </w:tc>
      </w:tr>
      <w:tr>
        <w:tc>
          <w:tcPr>
            <w:tcW w:w="4440" w:type="dxa"/>
          </w:tcPr>
          <w:p>
            <w:pPr/>
            <w:r>
              <w:t xml:space="preserve">On-device inference latency, mid-range phone</w:t>
            </w:r>
          </w:p>
        </w:tc>
        <w:tc>
          <w:tcPr>
            <w:tcW w:w="4920" w:type="dxa"/>
          </w:tcPr>
          <w:p>
            <w:pPr/>
            <w:r>
              <w:t xml:space="preserve">under 150 ms</w:t>
            </w:r>
          </w:p>
        </w:tc>
      </w:tr>
      <w:tr>
        <w:tc>
          <w:tcPr>
            <w:tcW w:w="4440" w:type="dxa"/>
          </w:tcPr>
          <w:p>
            <w:pPr/>
            <w:r>
              <w:t xml:space="preserve">Field-image (PlantDoc-style) macro F1</w:t>
            </w:r>
          </w:p>
        </w:tc>
        <w:tc>
          <w:tcPr>
            <w:tcW w:w="4920" w:type="dxa"/>
          </w:tcPr>
          <w:p>
            <w:pPr/>
            <w:r>
              <w:t xml:space="preserve">beat the lab-only baseline by a clear margin, and report the gap honestly</w:t>
            </w:r>
          </w:p>
        </w:tc>
      </w:tr>
      <w:tr>
        <w:tc>
          <w:tcPr>
            <w:tcW w:w="4440" w:type="dxa"/>
          </w:tcPr>
          <w:p>
            <w:pPr/>
            <w:r>
              <w:t xml:space="preserve">Calibration (ECE)</w:t>
            </w:r>
          </w:p>
        </w:tc>
        <w:tc>
          <w:tcPr>
            <w:tcW w:w="4920" w:type="dxa"/>
          </w:tcPr>
          <w:p>
            <w:pPr/>
            <w:r>
              <w:t xml:space="preserve">under 0.05 after temperature scaling</w:t>
            </w:r>
          </w:p>
        </w:tc>
      </w:tr>
      <w:tr>
        <w:tc>
          <w:tcPr>
            <w:tcW w:w="4440" w:type="dxa"/>
          </w:tcPr>
          <w:p>
            <w:pPr/>
            <w:r>
              <w:t xml:space="preserve">Out-of-distribution rejection</w:t>
            </w:r>
          </w:p>
        </w:tc>
        <w:tc>
          <w:tcPr>
            <w:tcW w:w="4920" w:type="dxa"/>
          </w:tcPr>
          <w:p>
            <w:pPr/>
            <w:r>
              <w:t xml:space="preserve">reject non-leaf images at a chosen precision</w:t>
            </w:r>
          </w:p>
        </w:tc>
      </w:tr>
      <w:tr>
        <w:tc>
          <w:tcPr>
            <w:tcW w:w="4440" w:type="dxa"/>
          </w:tcPr>
          <w:p>
            <w:pPr/>
            <w:r>
              <w:t xml:space="preserve">Forecast quality</w:t>
            </w:r>
          </w:p>
        </w:tc>
        <w:tc>
          <w:tcPr>
            <w:tcW w:w="4920" w:type="dxa"/>
          </w:tcPr>
          <w:p>
            <w:pPr/>
            <w:r>
              <w:t xml:space="preserve">AUROC and precision at top-k alerts on held-out weeks or regions</w:t>
            </w:r>
          </w:p>
        </w:tc>
      </w:tr>
      <w:tr>
        <w:tc>
          <w:tcPr>
            <w:tcW w:w="4440" w:type="dxa"/>
          </w:tcPr>
          <w:p>
            <w:pPr/>
            <w:r>
              <w:t xml:space="preserve">Time from open-app to advisory</w:t>
            </w:r>
          </w:p>
        </w:tc>
        <w:tc>
          <w:tcPr>
            <w:tcW w:w="4920" w:type="dxa"/>
          </w:tcPr>
          <w:p>
            <w:pPr/>
            <w:r>
              <w:t xml:space="preserve">under 10 seconds</w:t>
            </w:r>
          </w:p>
        </w:tc>
      </w:tr>
    </w:tbl>
    <w:p>
      <w:pPr>
        <w:pStyle w:val="Heading3"/>
      </w:pPr>
      <w:r>
        <w:t xml:space="preserve">A7. Judging-criteria map</w:t>
      </w:r>
    </w:p>
    <w:tbl>
      <w:tblPr>
        <w:tblStyle w:val="TableGrid"/>
        <w:tblW w:w="0" w:type="auto"/>
        <w:tblLayout w:type="fixed"/>
        <w:tblLook w:val="04A0" w:firstRow="1" w:lastRow="0" w:firstColumn="0" w:lastColumn="0" w:noHBand="0" w:noVBand="1"/>
      </w:tblPr>
      <w:tblGrid>
        <w:gridCol w:w="3550"/>
        <w:gridCol w:w="5809"/>
      </w:tblGrid>
      <w:tr>
        <w:trPr>
          <w:tblHeader/>
        </w:trPr>
        <w:tc>
          <w:tcPr>
            <w:tcW w:w="3550" w:type="dxa"/>
            <w:shd w:val="clear" w:color="auto" w:fill="F2F2F2"/>
          </w:tcPr>
          <w:p>
            <w:pPr/>
            <w:r>
              <w:t xml:space="preserve">Typical criterion</w:t>
            </w:r>
          </w:p>
        </w:tc>
        <w:tc>
          <w:tcPr>
            <w:tcW w:w="5809" w:type="dxa"/>
            <w:shd w:val="clear" w:color="auto" w:fill="F2F2F2"/>
          </w:tcPr>
          <w:p>
            <w:pPr/>
            <w:r>
              <w:t xml:space="preserve">What we show</w:t>
            </w:r>
          </w:p>
        </w:tc>
      </w:tr>
      <w:tr>
        <w:tc>
          <w:tcPr>
            <w:tcW w:w="3550" w:type="dxa"/>
          </w:tcPr>
          <w:p>
            <w:pPr/>
            <w:r>
              <w:t xml:space="preserve">Innovation</w:t>
            </w:r>
          </w:p>
        </w:tc>
        <w:tc>
          <w:tcPr>
            <w:tcW w:w="5809" w:type="dxa"/>
          </w:tcPr>
          <w:p>
            <w:pPr/>
            <w:r>
              <w:t xml:space="preserve">Edge vision + localized forecast + community loop</w:t>
            </w:r>
          </w:p>
        </w:tc>
      </w:tr>
      <w:tr>
        <w:tc>
          <w:tcPr>
            <w:tcW w:w="3550" w:type="dxa"/>
          </w:tcPr>
          <w:p>
            <w:pPr/>
            <w:r>
              <w:t xml:space="preserve">Technical depth</w:t>
            </w:r>
          </w:p>
        </w:tc>
        <w:tc>
          <w:tcPr>
            <w:tcW w:w="5809" w:type="dxa"/>
          </w:tcPr>
          <w:p>
            <w:pPr/>
            <w:r>
              <w:t xml:space="preserve">Quantized model, calibration, OOD, geospatial forecasting, offline sync</w:t>
            </w:r>
          </w:p>
        </w:tc>
      </w:tr>
      <w:tr>
        <w:tc>
          <w:tcPr>
            <w:tcW w:w="3550" w:type="dxa"/>
          </w:tcPr>
          <w:p>
            <w:pPr/>
            <w:r>
              <w:t xml:space="preserve">Impact</w:t>
            </w:r>
          </w:p>
        </w:tc>
        <w:tc>
          <w:tcPr>
            <w:tcW w:w="5809" w:type="dxa"/>
          </w:tcPr>
          <w:p>
            <w:pPr/>
            <w:r>
              <w:t xml:space="preserve">Early intervention, reduced pesticide misuse, vernacular access</w:t>
            </w:r>
          </w:p>
        </w:tc>
      </w:tr>
      <w:tr>
        <w:tc>
          <w:tcPr>
            <w:tcW w:w="3550" w:type="dxa"/>
          </w:tcPr>
          <w:p>
            <w:pPr/>
            <w:r>
              <w:t xml:space="preserve">Feasibility and scalability</w:t>
            </w:r>
          </w:p>
        </w:tc>
        <w:tc>
          <w:tcPr>
            <w:tcW w:w="5809" w:type="dxa"/>
          </w:tcPr>
          <w:p>
            <w:pPr/>
            <w:r>
              <w:t xml:space="preserve">Open datasets and APIs, cheap inference, geohash architecture</w:t>
            </w:r>
          </w:p>
        </w:tc>
      </w:tr>
      <w:tr>
        <w:tc>
          <w:tcPr>
            <w:tcW w:w="3550" w:type="dxa"/>
          </w:tcPr>
          <w:p>
            <w:pPr/>
            <w:r>
              <w:t xml:space="preserve">UI/UX</w:t>
            </w:r>
          </w:p>
        </w:tc>
        <w:tc>
          <w:tcPr>
            <w:tcW w:w="5809" w:type="dxa"/>
          </w:tcPr>
          <w:p>
            <w:pPr/>
            <w:r>
              <w:t xml:space="preserve">Liquid Glass design system, accessibility, voice, offline</w:t>
            </w:r>
          </w:p>
        </w:tc>
      </w:tr>
      <w:tr>
        <w:tc>
          <w:tcPr>
            <w:tcW w:w="3550" w:type="dxa"/>
          </w:tcPr>
          <w:p>
            <w:pPr/>
            <w:r>
              <w:t xml:space="preserve">Presentation</w:t>
            </w:r>
          </w:p>
        </w:tc>
        <w:tc>
          <w:tcPr>
            <w:tcW w:w="5809" w:type="dxa"/>
          </w:tcPr>
          <w:p>
            <w:pPr/>
            <w:r>
              <w:t xml:space="preserve">3-minute demo script below</w:t>
            </w:r>
          </w:p>
        </w:tc>
      </w:tr>
    </w:tbl>
    <w:p>
      <w:pPr>
        <w:pStyle w:val="Heading3"/>
      </w:pPr>
      <w:r>
        <w:t xml:space="preserve">A8. Risks and honest limitations</w:t>
      </w:r>
    </w:p>
    <w:p>
      <w:pPr>
        <w:pStyle w:val="ListParagraph"/>
        <w:numPr>
          <w:ilvl w:val="0"/>
          <w:numId w:val="5"/>
        </w:numPr>
      </w:pPr>
      <w:r>
        <w:t xml:space="preserve">Lab datasets (clean backgrounds) overstate field accuracy. We mitigate with field-image data, heavy augmentation and a separate field test set.</w:t>
      </w:r>
    </w:p>
    <w:p>
      <w:pPr>
        <w:pStyle w:val="ListParagraph"/>
        <w:numPr>
          <w:ilvl w:val="0"/>
          <w:numId w:val="5"/>
        </w:numPr>
      </w:pPr>
      <w:r>
        <w:t xml:space="preserve">Forecasts need ground truth that is scarce. We combine published epidemiological rules (humidity, leaf-wetness, degree-days) with a learned model, and say which is which.</w:t>
      </w:r>
    </w:p>
    <w:p>
      <w:pPr>
        <w:pStyle w:val="ListParagraph"/>
        <w:numPr>
          <w:ilvl w:val="0"/>
          <w:numId w:val="5"/>
        </w:numPr>
      </w:pPr>
      <w:r>
        <w:t xml:space="preserve">The app gives decision support, not a prescription. Chemical advice should defer to local agricultural-university guidance.</w:t>
      </w:r>
    </w:p>
    <w:p>
      <w:pPr>
        <w:pStyle w:val="Heading2"/>
      </w:pPr>
      <w:r>
        <w:t xml:space="preserve">Part B: Design Doc (UI/UX, Apple Liquid Glass)</w:t>
      </w:r>
    </w:p>
    <w:p>
      <w:pPr>
        <w:pStyle w:val="Heading3"/>
      </w:pPr>
      <w:r>
        <w:t xml:space="preserve">B1. Design principles</w:t>
      </w:r>
    </w:p>
    <w:p>
      <w:pPr>
        <w:pStyle w:val="ListParagraph"/>
        <w:numPr>
          <w:ilvl w:val="0"/>
          <w:numId w:val="6"/>
        </w:numPr>
      </w:pPr>
      <w:r>
        <w:rPr>
          <w:b/>
        </w:rPr>
        <w:t xml:space="preserve">Content first, glass second</w:t>
      </w:r>
      <w:r>
        <w:t xml:space="preserve">: glass is for controls and floating surfaces that sit above content (camera, map). Never glass-on-glass-on-glass.</w:t>
      </w:r>
    </w:p>
    <w:p>
      <w:pPr>
        <w:pStyle w:val="ListParagraph"/>
        <w:numPr>
          <w:ilvl w:val="0"/>
          <w:numId w:val="6"/>
        </w:numPr>
      </w:pPr>
      <w:r>
        <w:rPr>
          <w:b/>
        </w:rPr>
        <w:t xml:space="preserve">Farmer first</w:t>
      </w:r>
      <w:r>
        <w:t xml:space="preserve">: one primary action per screen, icons plus words plus voice, thumb-reachable controls at the bottom.</w:t>
      </w:r>
    </w:p>
    <w:p>
      <w:pPr>
        <w:pStyle w:val="ListParagraph"/>
        <w:numPr>
          <w:ilvl w:val="0"/>
          <w:numId w:val="6"/>
        </w:numPr>
      </w:pPr>
      <w:r>
        <w:rPr>
          <w:b/>
        </w:rPr>
        <w:t xml:space="preserve">Calm confidence</w:t>
      </w:r>
      <w:r>
        <w:t xml:space="preserve">: the interface should communicate certainty honestly. Low confidence looks different, not hidden.</w:t>
      </w:r>
    </w:p>
    <w:p>
      <w:pPr>
        <w:pStyle w:val="ListParagraph"/>
        <w:numPr>
          <w:ilvl w:val="0"/>
          <w:numId w:val="6"/>
        </w:numPr>
      </w:pPr>
      <w:r>
        <w:rPr>
          <w:b/>
        </w:rPr>
        <w:t xml:space="preserve">Works in sunlight</w:t>
      </w:r>
      <w:r>
        <w:t xml:space="preserve">: outdoor contrast beats decoration. Every glass surface must keep text legible on bright backgrounds.</w:t>
      </w:r>
    </w:p>
    <w:p>
      <w:pPr>
        <w:pStyle w:val="ListParagraph"/>
        <w:numPr>
          <w:ilvl w:val="0"/>
          <w:numId w:val="6"/>
        </w:numPr>
      </w:pPr>
      <w:r>
        <w:rPr>
          <w:b/>
        </w:rPr>
        <w:t xml:space="preserve">Delight with purpose</w:t>
      </w:r>
      <w:r>
        <w:t xml:space="preserve">: motion explains state (scanning, analysing, result) rather than decorating.</w:t>
      </w:r>
    </w:p>
    <w:p>
      <w:pPr>
        <w:pStyle w:val="Heading3"/>
      </w:pPr>
      <w:r>
        <w:t xml:space="preserve">B2. What "Liquid Glass" means here</w:t>
      </w:r>
    </w:p>
    <w:p>
      <w:pPr/>
      <w:r>
        <w:t xml:space="preserve">Apple's Liquid Glass material (introduced in 2025) is a translucent, dynamic material that reflects and refracts what is behind it, with specular highlights, adaptive tint and fluid morphing between states. We reproduce its look and behaviour on the web with the following ingredients:</w:t>
      </w:r>
    </w:p>
    <w:p>
      <w:pPr>
        <w:pStyle w:val="ListParagraph"/>
        <w:numPr>
          <w:ilvl w:val="0"/>
          <w:numId w:val="7"/>
        </w:numPr>
      </w:pPr>
      <w:r>
        <w:rPr>
          <w:b/>
        </w:rPr>
        <w:t xml:space="preserve">Backdrop blur and saturation boost</w:t>
      </w:r>
      <w:r>
        <w:t xml:space="preserve"> to simulate frosted translucency.</w:t>
      </w:r>
    </w:p>
    <w:p>
      <w:pPr>
        <w:pStyle w:val="ListParagraph"/>
        <w:numPr>
          <w:ilvl w:val="0"/>
          <w:numId w:val="7"/>
        </w:numPr>
      </w:pPr>
      <w:r>
        <w:rPr>
          <w:b/>
        </w:rPr>
        <w:t xml:space="preserve">Layered gradients</w:t>
      </w:r>
      <w:r>
        <w:t xml:space="preserve"> for edge light (brighter top-left rim, subtle bottom-right shadow) that act as the specular highlight.</w:t>
      </w:r>
    </w:p>
    <w:p>
      <w:pPr>
        <w:pStyle w:val="ListParagraph"/>
        <w:numPr>
          <w:ilvl w:val="0"/>
          <w:numId w:val="7"/>
        </w:numPr>
      </w:pPr>
      <w:r>
        <w:rPr>
          <w:b/>
        </w:rPr>
        <w:t xml:space="preserve">1 px inner highlight border</w:t>
      </w:r>
      <w:r>
        <w:t xml:space="preserve"> plus soft outer shadow for lift.</w:t>
      </w:r>
    </w:p>
    <w:p>
      <w:pPr>
        <w:pStyle w:val="ListParagraph"/>
        <w:numPr>
          <w:ilvl w:val="0"/>
          <w:numId w:val="7"/>
        </w:numPr>
      </w:pPr>
      <w:r>
        <w:rPr>
          <w:b/>
        </w:rPr>
        <w:t xml:space="preserve">Refraction</w:t>
      </w:r>
      <w:r>
        <w:t xml:space="preserve"> via an SVG displacement filter on supporting browsers, with a graceful blur-only fallback.</w:t>
      </w:r>
    </w:p>
    <w:p>
      <w:pPr>
        <w:pStyle w:val="ListParagraph"/>
        <w:numPr>
          <w:ilvl w:val="0"/>
          <w:numId w:val="7"/>
        </w:numPr>
      </w:pPr>
      <w:r>
        <w:rPr>
          <w:b/>
        </w:rPr>
        <w:t xml:space="preserve">Concentric corner radii</w:t>
      </w:r>
      <w:r>
        <w:t xml:space="preserve">: inner radius equals outer radius minus padding, so nested shapes feel optically aligned.</w:t>
      </w:r>
    </w:p>
    <w:p>
      <w:pPr>
        <w:pStyle w:val="ListParagraph"/>
        <w:numPr>
          <w:ilvl w:val="0"/>
          <w:numId w:val="7"/>
        </w:numPr>
      </w:pPr>
      <w:r>
        <w:rPr>
          <w:b/>
        </w:rPr>
        <w:t xml:space="preserve">Morphing</w:t>
      </w:r>
      <w:r>
        <w:t xml:space="preserve">: elements such as the scan button, tab bar and result sheet expand and contract with spring motion rather than cutting.</w:t>
      </w:r>
    </w:p>
    <w:p>
      <w:pPr>
        <w:pStyle w:val="ListParagraph"/>
        <w:numPr>
          <w:ilvl w:val="0"/>
          <w:numId w:val="7"/>
        </w:numPr>
      </w:pPr>
      <w:r>
        <w:rPr>
          <w:b/>
        </w:rPr>
        <w:t xml:space="preserve">Adaptive tint</w:t>
      </w:r>
      <w:r>
        <w:t xml:space="preserve">: glass tint shifts light or dark based on the content underneath (camera frame vs. map vs. white result page).</w:t>
      </w:r>
    </w:p>
    <w:p>
      <w:pPr>
        <w:pStyle w:val="Heading3"/>
      </w:pPr>
      <w:r>
        <w:t xml:space="preserve">B3. Design tokens</w:t>
      </w:r>
    </w:p>
    <w:p>
      <w:pPr/>
      <w:r>
        <w:rPr>
          <w:b/>
        </w:rPr>
        <w:t xml:space="preserve">Colour (light / dark)</w:t>
      </w:r>
    </w:p>
    <w:tbl>
      <w:tblPr>
        <w:tblStyle w:val="TableGrid"/>
        <w:tblW w:w="0" w:type="auto"/>
        <w:tblLayout w:type="fixed"/>
        <w:tblLook w:val="04A0" w:firstRow="1" w:lastRow="0" w:firstColumn="0" w:lastColumn="0" w:noHBand="0" w:noVBand="1"/>
      </w:tblPr>
      <w:tblGrid>
        <w:gridCol w:w="1936"/>
        <w:gridCol w:w="1747"/>
        <w:gridCol w:w="1860"/>
        <w:gridCol w:w="3816"/>
      </w:tblGrid>
      <w:tr>
        <w:trPr>
          <w:tblHeader/>
        </w:trPr>
        <w:tc>
          <w:tcPr>
            <w:tcW w:w="1936" w:type="dxa"/>
            <w:shd w:val="clear" w:color="auto" w:fill="F2F2F2"/>
          </w:tcPr>
          <w:p>
            <w:pPr/>
            <w:r>
              <w:t xml:space="preserve">Token</w:t>
            </w:r>
          </w:p>
        </w:tc>
        <w:tc>
          <w:tcPr>
            <w:tcW w:w="1747" w:type="dxa"/>
            <w:shd w:val="clear" w:color="auto" w:fill="F2F2F2"/>
          </w:tcPr>
          <w:p>
            <w:pPr/>
            <w:r>
              <w:t xml:space="preserve">Light</w:t>
            </w:r>
          </w:p>
        </w:tc>
        <w:tc>
          <w:tcPr>
            <w:tcW w:w="1860" w:type="dxa"/>
            <w:shd w:val="clear" w:color="auto" w:fill="F2F2F2"/>
          </w:tcPr>
          <w:p>
            <w:pPr/>
            <w:r>
              <w:t xml:space="preserve">Dark</w:t>
            </w:r>
          </w:p>
        </w:tc>
        <w:tc>
          <w:tcPr>
            <w:tcW w:w="3816" w:type="dxa"/>
            <w:shd w:val="clear" w:color="auto" w:fill="F2F2F2"/>
          </w:tcPr>
          <w:p>
            <w:pPr/>
            <w:r>
              <w:t xml:space="preserve">Use</w:t>
            </w:r>
          </w:p>
        </w:tc>
      </w:tr>
      <w:tr>
        <w:tc>
          <w:tcPr>
            <w:tcW w:w="1936" w:type="dxa"/>
          </w:tcPr>
          <w:p>
            <w:pPr/>
            <w:r>
              <w:t xml:space="preserve">bg-base</w:t>
            </w:r>
          </w:p>
        </w:tc>
        <w:tc>
          <w:tcPr>
            <w:tcW w:w="1747" w:type="dxa"/>
          </w:tcPr>
          <w:p>
            <w:pPr/>
            <w:r>
              <w:t xml:space="preserve">#F4F8F2</w:t>
            </w:r>
          </w:p>
        </w:tc>
        <w:tc>
          <w:tcPr>
            <w:tcW w:w="1860" w:type="dxa"/>
          </w:tcPr>
          <w:p>
            <w:pPr/>
            <w:r>
              <w:t xml:space="preserve">#0B120D</w:t>
            </w:r>
          </w:p>
        </w:tc>
        <w:tc>
          <w:tcPr>
            <w:tcW w:w="3816" w:type="dxa"/>
          </w:tcPr>
          <w:p>
            <w:pPr/>
            <w:r>
              <w:t xml:space="preserve">App background</w:t>
            </w:r>
          </w:p>
        </w:tc>
      </w:tr>
      <w:tr>
        <w:tc>
          <w:tcPr>
            <w:tcW w:w="1936" w:type="dxa"/>
          </w:tcPr>
          <w:p>
            <w:pPr/>
            <w:r>
              <w:t xml:space="preserve">leaf-500</w:t>
            </w:r>
          </w:p>
        </w:tc>
        <w:tc>
          <w:tcPr>
            <w:tcW w:w="1747" w:type="dxa"/>
          </w:tcPr>
          <w:p>
            <w:pPr/>
            <w:r>
              <w:t xml:space="preserve">#2FB36D</w:t>
            </w:r>
          </w:p>
        </w:tc>
        <w:tc>
          <w:tcPr>
            <w:tcW w:w="1860" w:type="dxa"/>
          </w:tcPr>
          <w:p>
            <w:pPr/>
            <w:r>
              <w:t xml:space="preserve">#3DDC84</w:t>
            </w:r>
          </w:p>
        </w:tc>
        <w:tc>
          <w:tcPr>
            <w:tcW w:w="3816" w:type="dxa"/>
          </w:tcPr>
          <w:p>
            <w:pPr/>
            <w:r>
              <w:t xml:space="preserve">Primary, healthy state</w:t>
            </w:r>
          </w:p>
        </w:tc>
      </w:tr>
      <w:tr>
        <w:tc>
          <w:tcPr>
            <w:tcW w:w="1936" w:type="dxa"/>
          </w:tcPr>
          <w:p>
            <w:pPr/>
            <w:r>
              <w:t xml:space="preserve">leaf-700</w:t>
            </w:r>
          </w:p>
        </w:tc>
        <w:tc>
          <w:tcPr>
            <w:tcW w:w="1747" w:type="dxa"/>
          </w:tcPr>
          <w:p>
            <w:pPr/>
            <w:r>
              <w:t xml:space="preserve">#17794A</w:t>
            </w:r>
          </w:p>
        </w:tc>
        <w:tc>
          <w:tcPr>
            <w:tcW w:w="1860" w:type="dxa"/>
          </w:tcPr>
          <w:p>
            <w:pPr/>
            <w:r>
              <w:t xml:space="preserve">#2FB36D</w:t>
            </w:r>
          </w:p>
        </w:tc>
        <w:tc>
          <w:tcPr>
            <w:tcW w:w="3816" w:type="dxa"/>
          </w:tcPr>
          <w:p>
            <w:pPr/>
            <w:r>
              <w:t xml:space="preserve">Pressed, text on glass</w:t>
            </w:r>
          </w:p>
        </w:tc>
      </w:tr>
      <w:tr>
        <w:tc>
          <w:tcPr>
            <w:tcW w:w="1936" w:type="dxa"/>
          </w:tcPr>
          <w:p>
            <w:pPr/>
            <w:r>
              <w:t xml:space="preserve">amber-500</w:t>
            </w:r>
          </w:p>
        </w:tc>
        <w:tc>
          <w:tcPr>
            <w:tcW w:w="1747" w:type="dxa"/>
          </w:tcPr>
          <w:p>
            <w:pPr/>
            <w:r>
              <w:t xml:space="preserve">#F5A524</w:t>
            </w:r>
          </w:p>
        </w:tc>
        <w:tc>
          <w:tcPr>
            <w:tcW w:w="1860" w:type="dxa"/>
          </w:tcPr>
          <w:p>
            <w:pPr/>
            <w:r>
              <w:t xml:space="preserve">#FFB84D</w:t>
            </w:r>
          </w:p>
        </w:tc>
        <w:tc>
          <w:tcPr>
            <w:tcW w:w="3816" w:type="dxa"/>
          </w:tcPr>
          <w:p>
            <w:pPr/>
            <w:r>
              <w:t xml:space="preserve">Watch / moderate risk</w:t>
            </w:r>
          </w:p>
        </w:tc>
      </w:tr>
      <w:tr>
        <w:tc>
          <w:tcPr>
            <w:tcW w:w="1936" w:type="dxa"/>
          </w:tcPr>
          <w:p>
            <w:pPr/>
            <w:r>
              <w:t xml:space="preserve">coral-500</w:t>
            </w:r>
          </w:p>
        </w:tc>
        <w:tc>
          <w:tcPr>
            <w:tcW w:w="1747" w:type="dxa"/>
          </w:tcPr>
          <w:p>
            <w:pPr/>
            <w:r>
              <w:t xml:space="preserve">#E5484D</w:t>
            </w:r>
          </w:p>
        </w:tc>
        <w:tc>
          <w:tcPr>
            <w:tcW w:w="1860" w:type="dxa"/>
          </w:tcPr>
          <w:p>
            <w:pPr/>
            <w:r>
              <w:t xml:space="preserve">#FF6B6F</w:t>
            </w:r>
          </w:p>
        </w:tc>
        <w:tc>
          <w:tcPr>
            <w:tcW w:w="3816" w:type="dxa"/>
          </w:tcPr>
          <w:p>
            <w:pPr/>
            <w:r>
              <w:t xml:space="preserve">High risk / disease</w:t>
            </w:r>
          </w:p>
        </w:tc>
      </w:tr>
      <w:tr>
        <w:tc>
          <w:tcPr>
            <w:tcW w:w="1936" w:type="dxa"/>
          </w:tcPr>
          <w:p>
            <w:pPr/>
            <w:r>
              <w:t xml:space="preserve">sky-500</w:t>
            </w:r>
          </w:p>
        </w:tc>
        <w:tc>
          <w:tcPr>
            <w:tcW w:w="1747" w:type="dxa"/>
          </w:tcPr>
          <w:p>
            <w:pPr/>
            <w:r>
              <w:t xml:space="preserve">#3B82F6</w:t>
            </w:r>
          </w:p>
        </w:tc>
        <w:tc>
          <w:tcPr>
            <w:tcW w:w="1860" w:type="dxa"/>
          </w:tcPr>
          <w:p>
            <w:pPr/>
            <w:r>
              <w:t xml:space="preserve">#60A5FA</w:t>
            </w:r>
          </w:p>
        </w:tc>
        <w:tc>
          <w:tcPr>
            <w:tcW w:w="3816" w:type="dxa"/>
          </w:tcPr>
          <w:p>
            <w:pPr/>
            <w:r>
              <w:t xml:space="preserve">Info, weather</w:t>
            </w:r>
          </w:p>
        </w:tc>
      </w:tr>
      <w:tr>
        <w:tc>
          <w:tcPr>
            <w:tcW w:w="1936" w:type="dxa"/>
          </w:tcPr>
          <w:p>
            <w:pPr/>
            <w:r>
              <w:t xml:space="preserve">ink-900</w:t>
            </w:r>
          </w:p>
        </w:tc>
        <w:tc>
          <w:tcPr>
            <w:tcW w:w="1747" w:type="dxa"/>
          </w:tcPr>
          <w:p>
            <w:pPr/>
            <w:r>
              <w:t xml:space="preserve">#0F1A12</w:t>
            </w:r>
          </w:p>
        </w:tc>
        <w:tc>
          <w:tcPr>
            <w:tcW w:w="1860" w:type="dxa"/>
          </w:tcPr>
          <w:p>
            <w:pPr/>
            <w:r>
              <w:t xml:space="preserve">#F2F7F3</w:t>
            </w:r>
          </w:p>
        </w:tc>
        <w:tc>
          <w:tcPr>
            <w:tcW w:w="3816" w:type="dxa"/>
          </w:tcPr>
          <w:p>
            <w:pPr/>
            <w:r>
              <w:t xml:space="preserve">Primary text</w:t>
            </w:r>
          </w:p>
        </w:tc>
      </w:tr>
      <w:tr>
        <w:tc>
          <w:tcPr>
            <w:tcW w:w="1936" w:type="dxa"/>
          </w:tcPr>
          <w:p>
            <w:pPr/>
            <w:r>
              <w:t xml:space="preserve">ink-600</w:t>
            </w:r>
          </w:p>
        </w:tc>
        <w:tc>
          <w:tcPr>
            <w:tcW w:w="1747" w:type="dxa"/>
          </w:tcPr>
          <w:p>
            <w:pPr/>
            <w:r>
              <w:t xml:space="preserve">#4A5A4F</w:t>
            </w:r>
          </w:p>
        </w:tc>
        <w:tc>
          <w:tcPr>
            <w:tcW w:w="1860" w:type="dxa"/>
          </w:tcPr>
          <w:p>
            <w:pPr/>
            <w:r>
              <w:t xml:space="preserve">#AAB8AE</w:t>
            </w:r>
          </w:p>
        </w:tc>
        <w:tc>
          <w:tcPr>
            <w:tcW w:w="3816" w:type="dxa"/>
          </w:tcPr>
          <w:p>
            <w:pPr/>
            <w:r>
              <w:t xml:space="preserve">Secondary text</w:t>
            </w:r>
          </w:p>
        </w:tc>
      </w:tr>
    </w:tbl>
    <w:p>
      <w:pPr/>
      <w:r>
        <w:t xml:space="preserve">Risk always uses colour plus icon plus label (never colour alone).</w:t>
      </w:r>
    </w:p>
    <w:p>
      <w:pPr/>
      <w:r>
        <w:rPr>
          <w:b/>
        </w:rPr>
        <w:t xml:space="preserve">Glass materials</w:t>
      </w:r>
    </w:p>
    <w:tbl>
      <w:tblPr>
        <w:tblStyle w:val="TableGrid"/>
        <w:tblW w:w="0" w:type="auto"/>
        <w:tblLayout w:type="fixed"/>
        <w:tblLook w:val="04A0" w:firstRow="1" w:lastRow="0" w:firstColumn="0" w:lastColumn="0" w:noHBand="0" w:noVBand="1"/>
      </w:tblPr>
      <w:tblGrid>
        <w:gridCol w:w="1505"/>
        <w:gridCol w:w="1358"/>
        <w:gridCol w:w="791"/>
        <w:gridCol w:w="1107"/>
        <w:gridCol w:w="1358"/>
        <w:gridCol w:w="3241"/>
      </w:tblGrid>
      <w:tr>
        <w:trPr>
          <w:tblHeader/>
        </w:trPr>
        <w:tc>
          <w:tcPr>
            <w:tcW w:w="1505" w:type="dxa"/>
            <w:shd w:val="clear" w:color="auto" w:fill="F2F2F2"/>
          </w:tcPr>
          <w:p>
            <w:pPr/>
            <w:r>
              <w:t xml:space="preserve">Token</w:t>
            </w:r>
          </w:p>
        </w:tc>
        <w:tc>
          <w:tcPr>
            <w:tcW w:w="1358" w:type="dxa"/>
            <w:shd w:val="clear" w:color="auto" w:fill="F2F2F2"/>
          </w:tcPr>
          <w:p>
            <w:pPr/>
            <w:r>
              <w:t xml:space="preserve">Fill</w:t>
            </w:r>
          </w:p>
        </w:tc>
        <w:tc>
          <w:tcPr>
            <w:tcW w:w="791" w:type="dxa"/>
            <w:shd w:val="clear" w:color="auto" w:fill="F2F2F2"/>
          </w:tcPr>
          <w:p>
            <w:pPr/>
            <w:r>
              <w:t xml:space="preserve">Blur</w:t>
            </w:r>
          </w:p>
        </w:tc>
        <w:tc>
          <w:tcPr>
            <w:tcW w:w="1107" w:type="dxa"/>
            <w:shd w:val="clear" w:color="auto" w:fill="F2F2F2"/>
          </w:tcPr>
          <w:p>
            <w:pPr/>
            <w:r>
              <w:t xml:space="preserve">Saturate</w:t>
            </w:r>
          </w:p>
        </w:tc>
        <w:tc>
          <w:tcPr>
            <w:tcW w:w="1358" w:type="dxa"/>
            <w:shd w:val="clear" w:color="auto" w:fill="F2F2F2"/>
          </w:tcPr>
          <w:p>
            <w:pPr/>
            <w:r>
              <w:t xml:space="preserve">Border</w:t>
            </w:r>
          </w:p>
        </w:tc>
        <w:tc>
          <w:tcPr>
            <w:tcW w:w="3241" w:type="dxa"/>
            <w:shd w:val="clear" w:color="auto" w:fill="F2F2F2"/>
          </w:tcPr>
          <w:p>
            <w:pPr/>
            <w:r>
              <w:t xml:space="preserve">Use</w:t>
            </w:r>
          </w:p>
        </w:tc>
      </w:tr>
      <w:tr>
        <w:tc>
          <w:tcPr>
            <w:tcW w:w="1505" w:type="dxa"/>
          </w:tcPr>
          <w:p>
            <w:pPr/>
            <w:r>
              <w:t xml:space="preserve">glass-thin</w:t>
            </w:r>
          </w:p>
        </w:tc>
        <w:tc>
          <w:tcPr>
            <w:tcW w:w="1358" w:type="dxa"/>
          </w:tcPr>
          <w:p>
            <w:pPr/>
            <w:r>
              <w:t xml:space="preserve">white 18%</w:t>
            </w:r>
          </w:p>
        </w:tc>
        <w:tc>
          <w:tcPr>
            <w:tcW w:w="791" w:type="dxa"/>
          </w:tcPr>
          <w:p>
            <w:pPr/>
            <w:r>
              <w:t xml:space="preserve">12 px</w:t>
            </w:r>
          </w:p>
        </w:tc>
        <w:tc>
          <w:tcPr>
            <w:tcW w:w="1107" w:type="dxa"/>
          </w:tcPr>
          <w:p>
            <w:pPr/>
            <w:r>
              <w:t xml:space="preserve">140%</w:t>
            </w:r>
          </w:p>
        </w:tc>
        <w:tc>
          <w:tcPr>
            <w:tcW w:w="1358" w:type="dxa"/>
          </w:tcPr>
          <w:p>
            <w:pPr/>
            <w:r>
              <w:t xml:space="preserve">white 35%</w:t>
            </w:r>
          </w:p>
        </w:tc>
        <w:tc>
          <w:tcPr>
            <w:tcW w:w="3241" w:type="dxa"/>
          </w:tcPr>
          <w:p>
            <w:pPr/>
            <w:r>
              <w:t xml:space="preserve">Chips, small controls</w:t>
            </w:r>
          </w:p>
        </w:tc>
      </w:tr>
      <w:tr>
        <w:tc>
          <w:tcPr>
            <w:tcW w:w="1505" w:type="dxa"/>
          </w:tcPr>
          <w:p>
            <w:pPr/>
            <w:r>
              <w:t xml:space="preserve">glass-regular</w:t>
            </w:r>
          </w:p>
        </w:tc>
        <w:tc>
          <w:tcPr>
            <w:tcW w:w="1358" w:type="dxa"/>
          </w:tcPr>
          <w:p>
            <w:pPr/>
            <w:r>
              <w:t xml:space="preserve">white 28%</w:t>
            </w:r>
          </w:p>
        </w:tc>
        <w:tc>
          <w:tcPr>
            <w:tcW w:w="791" w:type="dxa"/>
          </w:tcPr>
          <w:p>
            <w:pPr/>
            <w:r>
              <w:t xml:space="preserve">24 px</w:t>
            </w:r>
          </w:p>
        </w:tc>
        <w:tc>
          <w:tcPr>
            <w:tcW w:w="1107" w:type="dxa"/>
          </w:tcPr>
          <w:p>
            <w:pPr/>
            <w:r>
              <w:t xml:space="preserve">170%</w:t>
            </w:r>
          </w:p>
        </w:tc>
        <w:tc>
          <w:tcPr>
            <w:tcW w:w="1358" w:type="dxa"/>
          </w:tcPr>
          <w:p>
            <w:pPr/>
            <w:r>
              <w:t xml:space="preserve">white 45%</w:t>
            </w:r>
          </w:p>
        </w:tc>
        <w:tc>
          <w:tcPr>
            <w:tcW w:w="3241" w:type="dxa"/>
          </w:tcPr>
          <w:p>
            <w:pPr/>
            <w:r>
              <w:t xml:space="preserve">Tab bar, cards over imagery</w:t>
            </w:r>
          </w:p>
        </w:tc>
      </w:tr>
      <w:tr>
        <w:tc>
          <w:tcPr>
            <w:tcW w:w="1505" w:type="dxa"/>
          </w:tcPr>
          <w:p>
            <w:pPr/>
            <w:r>
              <w:t xml:space="preserve">glass-thick</w:t>
            </w:r>
          </w:p>
        </w:tc>
        <w:tc>
          <w:tcPr>
            <w:tcW w:w="1358" w:type="dxa"/>
          </w:tcPr>
          <w:p>
            <w:pPr/>
            <w:r>
              <w:t xml:space="preserve">white 48%</w:t>
            </w:r>
          </w:p>
        </w:tc>
        <w:tc>
          <w:tcPr>
            <w:tcW w:w="791" w:type="dxa"/>
          </w:tcPr>
          <w:p>
            <w:pPr/>
            <w:r>
              <w:t xml:space="preserve">40 px</w:t>
            </w:r>
          </w:p>
        </w:tc>
        <w:tc>
          <w:tcPr>
            <w:tcW w:w="1107" w:type="dxa"/>
          </w:tcPr>
          <w:p>
            <w:pPr/>
            <w:r>
              <w:t xml:space="preserve">190%</w:t>
            </w:r>
          </w:p>
        </w:tc>
        <w:tc>
          <w:tcPr>
            <w:tcW w:w="1358" w:type="dxa"/>
          </w:tcPr>
          <w:p>
            <w:pPr/>
            <w:r>
              <w:t xml:space="preserve">white 55%</w:t>
            </w:r>
          </w:p>
        </w:tc>
        <w:tc>
          <w:tcPr>
            <w:tcW w:w="3241" w:type="dxa"/>
          </w:tcPr>
          <w:p>
            <w:pPr/>
            <w:r>
              <w:t xml:space="preserve">Sheets, modals, text-heavy panels</w:t>
            </w:r>
          </w:p>
        </w:tc>
      </w:tr>
      <w:tr>
        <w:tc>
          <w:tcPr>
            <w:tcW w:w="1505" w:type="dxa"/>
          </w:tcPr>
          <w:p>
            <w:pPr/>
            <w:r>
              <w:t xml:space="preserve">glass-dark</w:t>
            </w:r>
          </w:p>
        </w:tc>
        <w:tc>
          <w:tcPr>
            <w:tcW w:w="1358" w:type="dxa"/>
          </w:tcPr>
          <w:p>
            <w:pPr/>
            <w:r>
              <w:t xml:space="preserve">black 30%</w:t>
            </w:r>
          </w:p>
        </w:tc>
        <w:tc>
          <w:tcPr>
            <w:tcW w:w="791" w:type="dxa"/>
          </w:tcPr>
          <w:p>
            <w:pPr/>
            <w:r>
              <w:t xml:space="preserve">28 px</w:t>
            </w:r>
          </w:p>
        </w:tc>
        <w:tc>
          <w:tcPr>
            <w:tcW w:w="1107" w:type="dxa"/>
          </w:tcPr>
          <w:p>
            <w:pPr/>
            <w:r>
              <w:t xml:space="preserve">160%</w:t>
            </w:r>
          </w:p>
        </w:tc>
        <w:tc>
          <w:tcPr>
            <w:tcW w:w="1358" w:type="dxa"/>
          </w:tcPr>
          <w:p>
            <w:pPr/>
            <w:r>
              <w:t xml:space="preserve">white 18%</w:t>
            </w:r>
          </w:p>
        </w:tc>
        <w:tc>
          <w:tcPr>
            <w:tcW w:w="3241" w:type="dxa"/>
          </w:tcPr>
          <w:p>
            <w:pPr/>
            <w:r>
              <w:t xml:space="preserve">Over camera and dark imagery</w:t>
            </w:r>
          </w:p>
        </w:tc>
      </w:tr>
    </w:tbl>
    <w:p>
      <w:pPr/>
      <w:r>
        <w:t xml:space="preserve">In dark mode, flip the fill to a low-alpha dark tint and reduce border opacity.</w:t>
      </w:r>
    </w:p>
    <w:p>
      <w:pPr/>
      <w:r>
        <w:rPr>
          <w:b/>
        </w:rPr>
        <w:t xml:space="preserve">Type</w:t>
      </w:r>
    </w:p>
    <w:p>
      <w:pPr>
        <w:pStyle w:val="ListParagraph"/>
        <w:numPr>
          <w:ilvl w:val="0"/>
          <w:numId w:val="8"/>
        </w:numPr>
      </w:pPr>
      <w:r>
        <w:t xml:space="preserve">Latin: SF Pro on Apple devices, Inter as the web fallback. Gujarati: Noto Sans Gujarati. Hindi: Noto Sans Devanagari.</w:t>
      </w:r>
    </w:p>
    <w:p>
      <w:pPr>
        <w:pStyle w:val="ListParagraph"/>
        <w:numPr>
          <w:ilvl w:val="0"/>
          <w:numId w:val="8"/>
        </w:numPr>
      </w:pPr>
      <w:r>
        <w:t xml:space="preserve">Scale: 34 / 28 / 22 / 17 (body) / 15 / 13. Minimum body size 17 px for farmer readability.</w:t>
      </w:r>
    </w:p>
    <w:p>
      <w:pPr>
        <w:pStyle w:val="ListParagraph"/>
        <w:numPr>
          <w:ilvl w:val="0"/>
          <w:numId w:val="8"/>
        </w:numPr>
      </w:pPr>
      <w:r>
        <w:t xml:space="preserve">Weights: 700 for titles, 600 for labels, 400 for body.</w:t>
      </w:r>
    </w:p>
    <w:p>
      <w:pPr/>
      <w:r>
        <w:rPr>
          <w:b/>
        </w:rPr>
        <w:t xml:space="preserve">Shape, spacing, motion</w:t>
      </w:r>
    </w:p>
    <w:p>
      <w:pPr>
        <w:pStyle w:val="ListParagraph"/>
        <w:numPr>
          <w:ilvl w:val="0"/>
          <w:numId w:val="9"/>
        </w:numPr>
      </w:pPr>
      <w:r>
        <w:t xml:space="preserve">Radii: 12 / 20 / 28 / 36, plus a full pill for buttons. Spacing on an 8 px grid.</w:t>
      </w:r>
    </w:p>
    <w:p>
      <w:pPr>
        <w:pStyle w:val="ListParagraph"/>
        <w:numPr>
          <w:ilvl w:val="0"/>
          <w:numId w:val="9"/>
        </w:numPr>
      </w:pPr>
      <w:r>
        <w:t xml:space="preserve">Spring: stiffness 260, damping 22 for sheets; 400 / 30 for buttons. Durations 220 to 420 ms.</w:t>
      </w:r>
    </w:p>
    <w:p>
      <w:pPr>
        <w:pStyle w:val="ListParagraph"/>
        <w:numPr>
          <w:ilvl w:val="0"/>
          <w:numId w:val="9"/>
        </w:numPr>
      </w:pPr>
      <w:r>
        <w:t xml:space="preserve">Haptics (where supported): light on scan lock, success on result, warning on high risk.</w:t>
      </w:r>
    </w:p>
    <w:p>
      <w:pPr>
        <w:pStyle w:val="Heading3"/>
      </w:pPr>
      <w:r>
        <w:t xml:space="preserve">B4. Core screens and flows</w:t>
      </w:r>
    </w:p>
    <w:p>
      <w:pPr/>
      <w:r>
        <w:rPr>
          <w:b/>
        </w:rPr>
        <w:t xml:space="preserve">1. Onboarding (20 seconds)</w:t>
      </w:r>
      <w:r>
        <w:t xml:space="preserve"> Language picker first (large glass tiles with the language name in its own script). Then crop picker as an icon grid. Location permission with a plain-language reason ("to warn you about pests near your field"). No sign-up wall.</w:t>
      </w:r>
    </w:p>
    <w:p>
      <w:pPr/>
      <w:r>
        <w:rPr>
          <w:b/>
        </w:rPr>
        <w:t xml:space="preserve">2. Scan (home)</w:t>
      </w:r>
      <w:r>
        <w:t xml:space="preserve"> Full-bleed live camera. A glass-dark top bar shows crop and connectivity (an "Offline AI ready" chip). A centre leaf-shaped guide frame tells the farmer to fill the frame with one leaf. A floating glass shutter button morphs into a progress ring while analysing. Real-time quality hints appear as glass toasts: "Move closer", "Too dark", "Hold steady". Gallery picker sits at the left, voice toggle at the right.</w:t>
      </w:r>
    </w:p>
    <w:p>
      <w:pPr/>
      <w:r>
        <w:rPr>
          <w:b/>
        </w:rPr>
        <w:t xml:space="preserve">3. Result sheet</w:t>
      </w:r>
      <w:r>
        <w:t xml:space="preserve"> A glass-thick sheet springs up over the frozen frame:</w:t>
      </w:r>
    </w:p>
    <w:p>
      <w:pPr>
        <w:pStyle w:val="ListParagraph"/>
        <w:numPr>
          <w:ilvl w:val="0"/>
          <w:numId w:val="10"/>
        </w:numPr>
      </w:pPr>
      <w:r>
        <w:t xml:space="preserve">Top: disease name (local language + English), severity pill, calibrated confidence ring.</w:t>
      </w:r>
    </w:p>
    <w:p>
      <w:pPr>
        <w:pStyle w:val="ListParagraph"/>
        <w:numPr>
          <w:ilvl w:val="0"/>
          <w:numId w:val="10"/>
        </w:numPr>
      </w:pPr>
      <w:r>
        <w:t xml:space="preserve">Heatmap toggle showing where the model looked (Grad-CAM overlay).</w:t>
      </w:r>
    </w:p>
    <w:p>
      <w:pPr>
        <w:pStyle w:val="ListParagraph"/>
        <w:numPr>
          <w:ilvl w:val="0"/>
          <w:numId w:val="10"/>
        </w:numPr>
      </w:pPr>
      <w:r>
        <w:t xml:space="preserve">If confidence is low: the sheet switches to an amber "Not sure" state with top-3 candidates, a retake tip, and an "Ask an expert" action.</w:t>
      </w:r>
    </w:p>
    <w:p>
      <w:pPr>
        <w:pStyle w:val="ListParagraph"/>
        <w:numPr>
          <w:ilvl w:val="0"/>
          <w:numId w:val="10"/>
        </w:numPr>
      </w:pPr>
      <w:r>
        <w:t xml:space="preserve">"What to do today" as 3 numbered, icon-led steps, with organic and cultural controls first and chemical options last with a safety note.</w:t>
      </w:r>
    </w:p>
    <w:p>
      <w:pPr>
        <w:pStyle w:val="ListParagraph"/>
        <w:numPr>
          <w:ilvl w:val="0"/>
          <w:numId w:val="10"/>
        </w:numPr>
      </w:pPr>
      <w:r>
        <w:t xml:space="preserve">Speaker button reads everything aloud.</w:t>
      </w:r>
    </w:p>
    <w:p>
      <w:pPr>
        <w:pStyle w:val="ListParagraph"/>
        <w:numPr>
          <w:ilvl w:val="0"/>
          <w:numId w:val="10"/>
        </w:numPr>
      </w:pPr>
      <w:r>
        <w:t xml:space="preserve">Footer actions: Save to field log, Report to village (anonymised), Share.</w:t>
      </w:r>
    </w:p>
    <w:p>
      <w:pPr/>
      <w:r>
        <w:rPr>
          <w:b/>
        </w:rPr>
        <w:t xml:space="preserve">4. Forecast map</w:t>
      </w:r>
      <w:r>
        <w:t xml:space="preserve"> A map of the user's area with a hex or geohash grid. Each cell is tinted by risk. A floating glass legend and a glass time scrubber (Today to +7 days) let the farmer drag through time and watch risk move. Tapping a cell opens a half-sheet with the "why": for example "3 nights of humidity above 85%, temperature 20 to 28 C, and 6 community scans nearby." The "why" builds trust.</w:t>
      </w:r>
    </w:p>
    <w:p>
      <w:pPr/>
      <w:r>
        <w:rPr>
          <w:b/>
        </w:rPr>
        <w:t xml:space="preserve">5. My fields</w:t>
      </w:r>
      <w:r>
        <w:t xml:space="preserve"> Cards per field with crop, growth stage, last scan, and 7-day risk sparkline. A timeline of scans and actions. Offline-capable.</w:t>
      </w:r>
    </w:p>
    <w:p>
      <w:pPr/>
      <w:r>
        <w:rPr>
          <w:b/>
        </w:rPr>
        <w:t xml:space="preserve">6. Alerts</w:t>
      </w:r>
      <w:r>
        <w:t xml:space="preserve"> Push or in-app alerts with plain-language one-liners and a single action button. Quiet hours respected.</w:t>
      </w:r>
    </w:p>
    <w:p>
      <w:pPr/>
      <w:r>
        <w:rPr>
          <w:b/>
        </w:rPr>
        <w:t xml:space="preserve">7. Dashboard (extension officer view, web)</w:t>
      </w:r>
      <w:r>
        <w:t xml:space="preserve"> Glass panels over a full-screen map: hotspot clusters, trend lines, export of anonymised reports.</w:t>
      </w:r>
    </w:p>
    <w:p>
      <w:pPr>
        <w:pStyle w:val="Heading3"/>
      </w:pPr>
      <w:r>
        <w:t xml:space="preserve">B5. Floating glass tab bar</w:t>
      </w:r>
    </w:p>
    <w:p>
      <w:pPr/>
      <w:r>
        <w:t xml:space="preserve">Four tabs: Scan, Forecast, Fields, Alerts. The bar floats above content with glass-regular, a sliding glass "lens" indicator behind the active icon that morphs between tabs, and it shrinks to a compact pill while scrolling. In landscape or small screens it collapses to icons only.</w:t>
      </w:r>
    </w:p>
    <w:p>
      <w:pPr>
        <w:pStyle w:val="Heading3"/>
      </w:pPr>
      <w:r>
        <w:t xml:space="preserve">B6. Implementation recipe (web)</w:t>
      </w:r>
    </w:p>
    <w:p>
      <w:pPr>
        <w:pStyle w:val="ListParagraph"/>
        <w:numPr>
          <w:ilvl w:val="0"/>
          <w:numId w:val="11"/>
        </w:numPr>
      </w:pPr>
      <w:r>
        <w:t xml:space="preserve">Base glass: </w:t>
      </w:r>
      <w:r>
        <w:rPr>
          <w:rStyle w:val="CodeChar"/>
        </w:rPr>
        <w:t xml:space="preserve">backdrop-filter: blur(24px) saturate(170%)</w:t>
      </w:r>
      <w:r>
        <w:t xml:space="preserve">, translucent fill, 1 px inner border using a gradient (brighter at top-left), and a stacked box-shadow (soft outer, inset highlight).</w:t>
      </w:r>
    </w:p>
    <w:p>
      <w:pPr>
        <w:pStyle w:val="ListParagraph"/>
        <w:numPr>
          <w:ilvl w:val="0"/>
          <w:numId w:val="11"/>
        </w:numPr>
      </w:pPr>
      <w:r>
        <w:t xml:space="preserve">Specular rim: a pseudo-element with a conic or linear gradient masked to the border.</w:t>
      </w:r>
    </w:p>
    <w:p>
      <w:pPr>
        <w:pStyle w:val="ListParagraph"/>
        <w:numPr>
          <w:ilvl w:val="0"/>
          <w:numId w:val="11"/>
        </w:numPr>
      </w:pPr>
      <w:r>
        <w:t xml:space="preserve">Refraction (progressive enhancement): an inline SVG filter using </w:t>
      </w:r>
      <w:r>
        <w:rPr>
          <w:rStyle w:val="CodeChar"/>
        </w:rPr>
        <w:t xml:space="preserve">feTurbulence</w:t>
      </w:r>
      <w:r>
        <w:t xml:space="preserve"> plus </w:t>
      </w:r>
      <w:r>
        <w:rPr>
          <w:rStyle w:val="CodeChar"/>
        </w:rPr>
        <w:t xml:space="preserve">feDisplacementMap</w:t>
      </w:r>
      <w:r>
        <w:t xml:space="preserve"> referenced from </w:t>
      </w:r>
      <w:r>
        <w:rPr>
          <w:rStyle w:val="CodeChar"/>
        </w:rPr>
        <w:t xml:space="preserve">backdrop-filter: url(#lens)</w:t>
      </w:r>
      <w:r>
        <w:t xml:space="preserve">; works in Chromium, falls back to blur elsewhere.</w:t>
      </w:r>
    </w:p>
    <w:p>
      <w:pPr>
        <w:pStyle w:val="ListParagraph"/>
        <w:numPr>
          <w:ilvl w:val="0"/>
          <w:numId w:val="11"/>
        </w:numPr>
      </w:pPr>
      <w:r>
        <w:t xml:space="preserve">Spring animations via the Web Animations API or a small spring library; respect </w:t>
      </w:r>
      <w:r>
        <w:rPr>
          <w:rStyle w:val="CodeChar"/>
        </w:rPr>
        <w:t xml:space="preserve">prefers-reduced-motion</w:t>
      </w:r>
      <w:r>
        <w:t xml:space="preserve">.</w:t>
      </w:r>
    </w:p>
    <w:p>
      <w:pPr>
        <w:pStyle w:val="ListParagraph"/>
        <w:numPr>
          <w:ilvl w:val="0"/>
          <w:numId w:val="11"/>
        </w:numPr>
      </w:pPr>
      <w:r>
        <w:t xml:space="preserve">Keep to roughly 6 to 8 glass surfaces on screen at once for performance; avoid animating blur radius, animate transform and opacity instead.</w:t>
      </w:r>
    </w:p>
    <w:p>
      <w:pPr>
        <w:pStyle w:val="Heading3"/>
      </w:pPr>
      <w:r>
        <w:t xml:space="preserve">B7. Accessibility and robustness</w:t>
      </w:r>
    </w:p>
    <w:p>
      <w:pPr>
        <w:pStyle w:val="ListParagraph"/>
        <w:numPr>
          <w:ilvl w:val="0"/>
          <w:numId w:val="12"/>
        </w:numPr>
      </w:pPr>
      <w:r>
        <w:t xml:space="preserve">Honour </w:t>
      </w:r>
      <w:r>
        <w:rPr>
          <w:rStyle w:val="CodeChar"/>
        </w:rPr>
        <w:t xml:space="preserve">prefers-reduced-transparency</w:t>
      </w:r>
      <w:r>
        <w:t xml:space="preserve"> and </w:t>
      </w:r>
      <w:r>
        <w:rPr>
          <w:rStyle w:val="CodeChar"/>
        </w:rPr>
        <w:t xml:space="preserve">prefers-contrast</w:t>
      </w:r>
      <w:r>
        <w:t xml:space="preserve">: swap glass for solid tinted surfaces with a visible border.</w:t>
      </w:r>
    </w:p>
    <w:p>
      <w:pPr>
        <w:pStyle w:val="ListParagraph"/>
        <w:numPr>
          <w:ilvl w:val="0"/>
          <w:numId w:val="12"/>
        </w:numPr>
      </w:pPr>
      <w:r>
        <w:t xml:space="preserve">Contrast target WCAG AA (4.5:1) for text on glass; use glass-thick behind any paragraph text.</w:t>
      </w:r>
    </w:p>
    <w:p>
      <w:pPr>
        <w:pStyle w:val="ListParagraph"/>
        <w:numPr>
          <w:ilvl w:val="0"/>
          <w:numId w:val="12"/>
        </w:numPr>
      </w:pPr>
      <w:r>
        <w:t xml:space="preserve">Touch targets at least 48 px; primary actions in the lower third of the screen.</w:t>
      </w:r>
    </w:p>
    <w:p>
      <w:pPr>
        <w:pStyle w:val="ListParagraph"/>
        <w:numPr>
          <w:ilvl w:val="0"/>
          <w:numId w:val="12"/>
        </w:numPr>
      </w:pPr>
      <w:r>
        <w:t xml:space="preserve">Voice read-out for all result and alert content; icons paired with every label.</w:t>
      </w:r>
    </w:p>
    <w:p>
      <w:pPr>
        <w:pStyle w:val="ListParagraph"/>
        <w:numPr>
          <w:ilvl w:val="0"/>
          <w:numId w:val="12"/>
        </w:numPr>
      </w:pPr>
      <w:r>
        <w:t xml:space="preserve">Works at low brightness and in direct sun: test on real devices outdoors.</w:t>
      </w:r>
    </w:p>
    <w:p>
      <w:pPr>
        <w:pStyle w:val="ListParagraph"/>
        <w:numPr>
          <w:ilvl w:val="0"/>
          <w:numId w:val="12"/>
        </w:numPr>
      </w:pPr>
      <w:r>
        <w:t xml:space="preserve">Low-end devices: detect and automatically drop to blur-only or solid mode.</w:t>
      </w:r>
    </w:p>
    <w:p>
      <w:pPr>
        <w:pStyle w:val="Heading3"/>
      </w:pPr>
      <w:r>
        <w:t xml:space="preserve">B8. Microcopy and tone</w:t>
      </w:r>
    </w:p>
    <w:p>
      <w:pPr/>
      <w:r>
        <w:t xml:space="preserve">Short, kind, local. Examples: "Looks like early blight. Don't worry, it's treatable." and "I'm not sure. Try a clearer photo of one leaf." Never blame the farmer; never overstate certainty.</w:t>
      </w:r>
    </w:p>
    <w:p>
      <w:pPr>
        <w:pStyle w:val="Heading3"/>
      </w:pPr>
      <w:r>
        <w:t xml:space="preserve">B9. Website look: landing hero (ThreeUI SylvaHero, Living Green)</w:t>
      </w:r>
    </w:p>
    <w:p>
      <w:pPr/>
      <w:r>
        <w:t xml:space="preserve">The public website, the page judges and villages land on before opening the PWA, gets one new element: a full-bleed living-world hero as its first screen. It uses the ThreeUI </w:t>
      </w:r>
      <w:r>
        <w:rPr>
          <w:rStyle w:val="CodeChar"/>
        </w:rPr>
        <w:t xml:space="preserve">SylvaHero</w:t>
      </w:r>
      <w:r>
        <w:t xml:space="preserve"> component in its </w:t>
      </w:r>
      <w:r>
        <w:rPr>
          <w:rStyle w:val="CodeChar"/>
        </w:rPr>
        <w:t xml:space="preserve">living-green</w:t>
      </w:r>
      <w:r>
        <w:t xml:space="preserve"> variant: a moss-root world with pale flowers, ferns, drifting pollen, a landing butterfly and native liquid-metal controls, sitting behind the full hero layout (nav, headline, call to action, two stat chips and a field-note card).</w:t>
      </w:r>
    </w:p>
    <w:p>
      <w:pPr/>
      <w:r>
        <w:t xml:space="preserve">Scope is deliberately narrow: only the website hero is added. The PWA screens, dashboard and the Liquid Glass design system in B2 to B7 are unchanged.</w:t>
      </w:r>
    </w:p>
    <w:p>
      <w:pPr>
        <w:pStyle w:val="Heading4"/>
      </w:pPr>
      <w:r>
        <w:t xml:space="preserve">Configured usage</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shd w:val="clear" w:color="auto" w:fill="F2F2F2"/>
          </w:tcPr>
          <w:p>
            <w:pPr/>
            <w:r>
              <w:t xml:space="preserve">Setting</w:t>
            </w:r>
          </w:p>
        </w:tc>
        <w:tc>
          <w:tcPr>
            <w:tcW w:w="6360" w:type="dxa"/>
            <w:shd w:val="clear" w:color="auto" w:fill="F2F2F2"/>
          </w:tcPr>
          <w:p>
            <w:pPr/>
            <w:r>
              <w:t xml:space="preserve">Value</w:t>
            </w:r>
          </w:p>
        </w:tc>
      </w:tr>
      <w:tr>
        <w:tc>
          <w:tcPr>
            <w:tcW w:w="3000" w:type="dxa"/>
          </w:tcPr>
          <w:p>
            <w:pPr/>
            <w:r>
              <w:t xml:space="preserve">Component</w:t>
            </w:r>
          </w:p>
        </w:tc>
        <w:tc>
          <w:tcPr>
            <w:tcW w:w="6360" w:type="dxa"/>
          </w:tcPr>
          <w:p>
            <w:pPr/>
            <w:r>
              <w:rPr>
                <w:rStyle w:val="CodeChar"/>
              </w:rPr>
              <w:t xml:space="preserve">SylvaHero</w:t>
            </w:r>
          </w:p>
        </w:tc>
      </w:tr>
      <w:tr>
        <w:tc>
          <w:tcPr>
            <w:tcW w:w="3000" w:type="dxa"/>
          </w:tcPr>
          <w:p>
            <w:pPr/>
            <w:r>
              <w:t xml:space="preserve">Variant</w:t>
            </w:r>
          </w:p>
        </w:tc>
        <w:tc>
          <w:tcPr>
            <w:tcW w:w="6360" w:type="dxa"/>
          </w:tcPr>
          <w:p>
            <w:pPr/>
            <w:r>
              <w:rPr>
                <w:rStyle w:val="CodeChar"/>
              </w:rPr>
              <w:t xml:space="preserve">living-green</w:t>
            </w:r>
          </w:p>
        </w:tc>
      </w:tr>
      <w:tr>
        <w:tc>
          <w:tcPr>
            <w:tcW w:w="3000" w:type="dxa"/>
          </w:tcPr>
          <w:p>
            <w:pPr/>
            <w:r>
              <w:t xml:space="preserve">Runtime</w:t>
            </w:r>
          </w:p>
        </w:tc>
        <w:tc>
          <w:tcPr>
            <w:tcW w:w="6360" w:type="dxa"/>
          </w:tcPr>
          <w:p>
            <w:pPr/>
            <w:r>
              <w:t xml:space="preserve">Full HTML + DOM/CSS + local Three.js (no CDN)</w:t>
            </w:r>
          </w:p>
        </w:tc>
      </w:tr>
      <w:tr>
        <w:tc>
          <w:tcPr>
            <w:tcW w:w="3000" w:type="dxa"/>
          </w:tcPr>
          <w:p>
            <w:pPr/>
            <w:r>
              <w:t xml:space="preserve">Source revision</w:t>
            </w:r>
          </w:p>
        </w:tc>
        <w:tc>
          <w:tcPr>
            <w:tcW w:w="6360" w:type="dxa"/>
          </w:tcPr>
          <w:p>
            <w:pPr/>
            <w:r>
              <w:t xml:space="preserve">SHA-256 05f359ce157a</w:t>
            </w:r>
          </w:p>
        </w:tc>
      </w:tr>
      <w:tr>
        <w:tc>
          <w:tcPr>
            <w:tcW w:w="3000" w:type="dxa"/>
          </w:tcPr>
          <w:p>
            <w:pPr/>
            <w:r>
              <w:t xml:space="preserve">Heading / body font</w:t>
            </w:r>
          </w:p>
        </w:tc>
        <w:tc>
          <w:tcPr>
            <w:tcW w:w="6360" w:type="dxa"/>
          </w:tcPr>
          <w:p>
            <w:pPr/>
            <w:r>
              <w:t xml:space="preserve">lexend / lexend, weight 300 for both</w:t>
            </w:r>
          </w:p>
        </w:tc>
      </w:tr>
      <w:tr>
        <w:tc>
          <w:tcPr>
            <w:tcW w:w="3000" w:type="dxa"/>
          </w:tcPr>
          <w:p>
            <w:pPr/>
            <w:r>
              <w:t xml:space="preserve">Primary colour</w:t>
            </w:r>
          </w:p>
        </w:tc>
        <w:tc>
          <w:tcPr>
            <w:tcW w:w="6360" w:type="dxa"/>
          </w:tcPr>
          <w:p>
            <w:pPr/>
            <w:r>
              <w:rPr>
                <w:rStyle w:val="CodeChar"/>
              </w:rPr>
              <w:t xml:space="preserve">#ffffff</w:t>
            </w:r>
          </w:p>
        </w:tc>
      </w:tr>
      <w:tr>
        <w:tc>
          <w:tcPr>
            <w:tcW w:w="3000" w:type="dxa"/>
          </w:tcPr>
          <w:p>
            <w:pPr/>
            <w:r>
              <w:t xml:space="preserve">Heading size / body size</w:t>
            </w:r>
          </w:p>
        </w:tc>
        <w:tc>
          <w:tcPr>
            <w:tcW w:w="6360" w:type="dxa"/>
          </w:tcPr>
          <w:p>
            <w:pPr/>
            <w:r>
              <w:t xml:space="preserve">63 / 16.5</w:t>
            </w:r>
          </w:p>
        </w:tc>
      </w:tr>
      <w:tr>
        <w:tc>
          <w:tcPr>
            <w:tcW w:w="3000" w:type="dxa"/>
          </w:tcPr>
          <w:p>
            <w:pPr/>
            <w:r>
              <w:t xml:space="preserve">Heading letter spacing</w:t>
            </w:r>
          </w:p>
        </w:tc>
        <w:tc>
          <w:tcPr>
            <w:tcW w:w="6360" w:type="dxa"/>
          </w:tcPr>
          <w:p>
            <w:pPr/>
            <w:r>
              <w:t xml:space="preserve">-0.006</w:t>
            </w:r>
          </w:p>
        </w:tc>
      </w:tr>
    </w:tbl>
    <w:p>
      <w:pPr/>
      <w:r>
        <w:t xml:space="preserve"/>
      </w:r>
    </w:p>
    <w:p>
      <w:pPr>
        <w:pStyle w:val="Code"/>
      </w:pPr>
      <w:r>
        <w:t xml:space="preserve">import { SylvaHero } from "@designcodeio/threeui";</w:t>
        <w:br/>
        <w:t xml:space="preserve">import "@designcodeio/threeui/style.css";</w:t>
        <w:br/>
        <w:t xml:space="preserve"/>
        <w:br/>
        <w:t xml:space="preserve">export function Scene() {</w:t>
        <w:br/>
        <w:t xml:space="preserve">  return (</w:t>
        <w:br/>
        <w:t xml:space="preserve">    &lt;div className="shader-frame"&gt;</w:t>
        <w:br/>
        <w:t xml:space="preserve">      &lt;SylvaHero</w:t>
        <w:br/>
        <w:t xml:space="preserve">        variant="living-green"</w:t>
        <w:br/>
        <w:t xml:space="preserve">        headingFont="lexend"</w:t>
        <w:br/>
        <w:t xml:space="preserve">        bodyFont="lexend"</w:t>
        <w:br/>
        <w:t xml:space="preserve">        headingWeight="300"</w:t>
        <w:br/>
        <w:t xml:space="preserve">        bodyWeight="300"</w:t>
        <w:br/>
        <w:t xml:space="preserve">        primaryColor="#ffffff"</w:t>
        <w:br/>
        <w:t xml:space="preserve">        headingSize={63}</w:t>
        <w:br/>
        <w:t xml:space="preserve">        bodySize={16.5}</w:t>
        <w:br/>
        <w:t xml:space="preserve">        headingLetterSpacing={-0.006}</w:t>
        <w:br/>
        <w:t xml:space="preserve">      /&gt;</w:t>
        <w:br/>
        <w:t xml:space="preserve">    &lt;/div&gt;</w:t>
        <w:br/>
        <w:t xml:space="preserve">  );</w:t>
        <w:br/>
        <w:t xml:space="preserve">}</w:t>
      </w:r>
    </w:p>
    <w:p>
      <w:pPr/>
      <w:r>
        <w:t xml:space="preserve"/>
      </w:r>
    </w:p>
    <w:p>
      <w:pPr>
        <w:pStyle w:val="Heading4"/>
      </w:pPr>
      <w:r>
        <w:t xml:space="preserve">Required source files</w:t>
      </w:r>
    </w:p>
    <w:p>
      <w:pPr/>
      <w:r>
        <w:t xml:space="preserve">The hero must be built from the exact ThreeUI source, never recreated from a screenshot or the filename. Expected hashes are from the integration brief; status is from the check run against the ThreeUI Community repository.</w:t>
      </w:r>
    </w:p>
    <w:tbl>
      <w:tblPr>
        <w:tblStyle w:val="TableGrid"/>
        <w:tblW w:w="9360" w:type="dxa"/>
        <w:tblLayout w:type="fixed"/>
        <w:tblLook w:val="04A0" w:firstRow="1" w:lastRow="0" w:firstColumn="0" w:lastColumn="0" w:noHBand="0" w:noVBand="1"/>
      </w:tblPr>
      <w:tblGrid>
        <w:gridCol w:w="3500"/>
        <w:gridCol w:w="1400"/>
        <w:gridCol w:w="1900"/>
        <w:gridCol w:w="2560"/>
      </w:tblGrid>
      <w:tr>
        <w:trPr>
          <w:tblHeader/>
        </w:trPr>
        <w:tc>
          <w:tcPr>
            <w:tcW w:w="3500" w:type="dxa"/>
            <w:shd w:val="clear" w:color="auto" w:fill="F2F2F2"/>
          </w:tcPr>
          <w:p>
            <w:pPr/>
            <w:r>
              <w:t xml:space="preserve">File</w:t>
            </w:r>
          </w:p>
        </w:tc>
        <w:tc>
          <w:tcPr>
            <w:tcW w:w="1400" w:type="dxa"/>
            <w:shd w:val="clear" w:color="auto" w:fill="F2F2F2"/>
          </w:tcPr>
          <w:p>
            <w:pPr/>
            <w:r>
              <w:t xml:space="preserve">Role</w:t>
            </w:r>
          </w:p>
        </w:tc>
        <w:tc>
          <w:tcPr>
            <w:tcW w:w="1900" w:type="dxa"/>
            <w:shd w:val="clear" w:color="auto" w:fill="F2F2F2"/>
          </w:tcPr>
          <w:p>
            <w:pPr/>
            <w:r>
              <w:t xml:space="preserve">SHA-256 (first 12)</w:t>
            </w:r>
          </w:p>
        </w:tc>
        <w:tc>
          <w:tcPr>
            <w:tcW w:w="2560" w:type="dxa"/>
            <w:shd w:val="clear" w:color="auto" w:fill="F2F2F2"/>
          </w:tcPr>
          <w:p>
            <w:pPr/>
            <w:r>
              <w:t xml:space="preserve">Check status</w:t>
            </w:r>
          </w:p>
        </w:tc>
      </w:tr>
      <w:tr>
        <w:tc>
          <w:tcPr>
            <w:tcW w:w="3500" w:type="dxa"/>
          </w:tcPr>
          <w:p>
            <w:pPr/>
            <w:r>
              <w:rPr>
                <w:rStyle w:val="CodeChar"/>
              </w:rPr>
              <w:t xml:space="preserve">public/landing-pages/inner-green-3d.html</w:t>
            </w:r>
          </w:p>
        </w:tc>
        <w:tc>
          <w:tcPr>
            <w:tcW w:w="1400" w:type="dxa"/>
          </w:tcPr>
          <w:p>
            <w:pPr/>
            <w:r>
              <w:t xml:space="preserve">Canonical source</w:t>
            </w:r>
          </w:p>
        </w:tc>
        <w:tc>
          <w:tcPr>
            <w:tcW w:w="1900" w:type="dxa"/>
          </w:tcPr>
          <w:p>
            <w:pPr/>
            <w:r>
              <w:t xml:space="preserve">69c3694bd63f</w:t>
            </w:r>
          </w:p>
        </w:tc>
        <w:tc>
          <w:tcPr>
            <w:tcW w:w="2560" w:type="dxa"/>
          </w:tcPr>
          <w:p>
            <w:pPr/>
            <w:r>
              <w:t xml:space="preserve">Verified, exact match</w:t>
            </w:r>
          </w:p>
        </w:tc>
      </w:tr>
      <w:tr>
        <w:tc>
          <w:tcPr>
            <w:tcW w:w="3500" w:type="dxa"/>
          </w:tcPr>
          <w:p>
            <w:pPr/>
            <w:r>
              <w:rPr>
                <w:rStyle w:val="CodeChar"/>
              </w:rPr>
              <w:t xml:space="preserve">public/landing-pages/inner-green-assets/three.min.js</w:t>
            </w:r>
          </w:p>
        </w:tc>
        <w:tc>
          <w:tcPr>
            <w:tcW w:w="1400" w:type="dxa"/>
          </w:tcPr>
          <w:p>
            <w:pPr/>
            <w:r>
              <w:t xml:space="preserve">Three.js runtime</w:t>
            </w:r>
          </w:p>
        </w:tc>
        <w:tc>
          <w:tcPr>
            <w:tcW w:w="1900" w:type="dxa"/>
          </w:tcPr>
          <w:p>
            <w:pPr/>
            <w:r>
              <w:t xml:space="preserve">8a5f7249903b</w:t>
            </w:r>
          </w:p>
        </w:tc>
        <w:tc>
          <w:tcPr>
            <w:tcW w:w="2560" w:type="dxa"/>
          </w:tcPr>
          <w:p>
            <w:pPr/>
            <w:r>
              <w:t xml:space="preserve">Verified, exact match</w:t>
            </w:r>
          </w:p>
        </w:tc>
      </w:tr>
      <w:tr>
        <w:tc>
          <w:tcPr>
            <w:tcW w:w="3500" w:type="dxa"/>
          </w:tcPr>
          <w:p>
            <w:pPr/>
            <w:r>
              <w:rPr>
                <w:rStyle w:val="CodeChar"/>
              </w:rPr>
              <w:t xml:space="preserve">src/shaders/landing-pages/pageTypography.ts</w:t>
            </w:r>
          </w:p>
        </w:tc>
        <w:tc>
          <w:tcPr>
            <w:tcW w:w="1400" w:type="dxa"/>
          </w:tcPr>
          <w:p>
            <w:pPr/>
            <w:r>
              <w:t xml:space="preserve">Controls source</w:t>
            </w:r>
          </w:p>
        </w:tc>
        <w:tc>
          <w:tcPr>
            <w:tcW w:w="1900" w:type="dxa"/>
          </w:tcPr>
          <w:p>
            <w:pPr/>
            <w:r>
              <w:t xml:space="preserve">809cc65797d5</w:t>
            </w:r>
          </w:p>
        </w:tc>
        <w:tc>
          <w:tcPr>
            <w:tcW w:w="2560" w:type="dxa"/>
          </w:tcPr>
          <w:p>
            <w:pPr/>
            <w:r>
              <w:t xml:space="preserve">Verified, exact match</w:t>
            </w:r>
          </w:p>
        </w:tc>
      </w:tr>
      <w:tr>
        <w:tc>
          <w:tcPr>
            <w:tcW w:w="3500" w:type="dxa"/>
          </w:tcPr>
          <w:p>
            <w:pPr/>
            <w:r>
              <w:rPr>
                <w:rStyle w:val="CodeChar"/>
              </w:rPr>
              <w:t xml:space="preserve">src/shaders/landing-pages/LandingPages.tsx</w:t>
            </w:r>
          </w:p>
        </w:tc>
        <w:tc>
          <w:tcPr>
            <w:tcW w:w="1400" w:type="dxa"/>
          </w:tcPr>
          <w:p>
            <w:pPr/>
            <w:r>
              <w:t xml:space="preserve">Component</w:t>
            </w:r>
          </w:p>
        </w:tc>
        <w:tc>
          <w:tcPr>
            <w:tcW w:w="1900" w:type="dxa"/>
          </w:tcPr>
          <w:p>
            <w:pPr/>
            <w:r>
              <w:t xml:space="preserve">4d379461ad00</w:t>
            </w:r>
          </w:p>
        </w:tc>
        <w:tc>
          <w:tcPr>
            <w:tcW w:w="2560" w:type="dxa"/>
          </w:tcPr>
          <w:p>
            <w:pPr/>
            <w:r>
              <w:t xml:space="preserve">Not verified: repo copy has a different hash</w:t>
            </w:r>
          </w:p>
        </w:tc>
      </w:tr>
      <w:tr>
        <w:tc>
          <w:tcPr>
            <w:tcW w:w="3500" w:type="dxa"/>
          </w:tcPr>
          <w:p>
            <w:pPr/>
            <w:r>
              <w:rPr>
                <w:rStyle w:val="CodeChar"/>
              </w:rPr>
              <w:t xml:space="preserve">src/shaders/landing-pages/pageRecipes.ts</w:t>
            </w:r>
          </w:p>
        </w:tc>
        <w:tc>
          <w:tcPr>
            <w:tcW w:w="1400" w:type="dxa"/>
          </w:tcPr>
          <w:p>
            <w:pPr/>
            <w:r>
              <w:t xml:space="preserve">Controls source</w:t>
            </w:r>
          </w:p>
        </w:tc>
        <w:tc>
          <w:tcPr>
            <w:tcW w:w="1900" w:type="dxa"/>
          </w:tcPr>
          <w:p>
            <w:pPr/>
            <w:r>
              <w:t xml:space="preserve">c9d9849cc255</w:t>
            </w:r>
          </w:p>
        </w:tc>
        <w:tc>
          <w:tcPr>
            <w:tcW w:w="2560" w:type="dxa"/>
          </w:tcPr>
          <w:p>
            <w:pPr/>
            <w:r>
              <w:t xml:space="preserve">Not verified: repo copy has a different hash</w:t>
            </w:r>
          </w:p>
        </w:tc>
      </w:tr>
      <w:tr>
        <w:tc>
          <w:tcPr>
            <w:tcW w:w="3500" w:type="dxa"/>
          </w:tcPr>
          <w:p>
            <w:pPr/>
            <w:r>
              <w:rPr>
                <w:rStyle w:val="CodeChar"/>
              </w:rPr>
              <w:t xml:space="preserve">src/shaders/landing-pages/LandingPageFrame.tsx</w:t>
            </w:r>
          </w:p>
        </w:tc>
        <w:tc>
          <w:tcPr>
            <w:tcW w:w="1400" w:type="dxa"/>
          </w:tcPr>
          <w:p>
            <w:pPr/>
            <w:r>
              <w:t xml:space="preserve">Frame component</w:t>
            </w:r>
          </w:p>
        </w:tc>
        <w:tc>
          <w:tcPr>
            <w:tcW w:w="1900" w:type="dxa"/>
          </w:tcPr>
          <w:p>
            <w:pPr/>
            <w:r>
              <w:t xml:space="preserve">61de2cc50888</w:t>
            </w:r>
          </w:p>
        </w:tc>
        <w:tc>
          <w:tcPr>
            <w:tcW w:w="2560" w:type="dxa"/>
          </w:tcPr>
          <w:p>
            <w:pPr/>
            <w:r>
              <w:t xml:space="preserve">Not verified: not found in repo</w:t>
            </w:r>
          </w:p>
        </w:tc>
      </w:tr>
      <w:tr>
        <w:tc>
          <w:tcPr>
            <w:tcW w:w="3500" w:type="dxa"/>
          </w:tcPr>
          <w:p>
            <w:pPr/>
            <w:r>
              <w:rPr>
                <w:rStyle w:val="CodeChar"/>
              </w:rPr>
              <w:t xml:space="preserve">src/shaders/threeui.css</w:t>
            </w:r>
          </w:p>
        </w:tc>
        <w:tc>
          <w:tcPr>
            <w:tcW w:w="1400" w:type="dxa"/>
          </w:tcPr>
          <w:p>
            <w:pPr/>
            <w:r>
              <w:t xml:space="preserve">Shared style</w:t>
            </w:r>
          </w:p>
        </w:tc>
        <w:tc>
          <w:tcPr>
            <w:tcW w:w="1900" w:type="dxa"/>
          </w:tcPr>
          <w:p>
            <w:pPr/>
            <w:r>
              <w:t xml:space="preserve">efe4447139f1</w:t>
            </w:r>
          </w:p>
        </w:tc>
        <w:tc>
          <w:tcPr>
            <w:tcW w:w="2560" w:type="dxa"/>
          </w:tcPr>
          <w:p>
            <w:pPr/>
            <w:r>
              <w:t xml:space="preserve">Not verified: not found in repo</w:t>
            </w:r>
          </w:p>
        </w:tc>
      </w:tr>
    </w:tbl>
    <w:p>
      <w:pPr/>
      <w:r>
        <w:t xml:space="preserve"/>
      </w:r>
    </w:p>
    <w:p>
      <w:pPr/>
      <w:r>
        <w:t xml:space="preserve">Binary assets are copied byte-for-byte into </w:t>
      </w:r>
      <w:r>
        <w:rPr>
          <w:rStyle w:val="CodeChar"/>
        </w:rPr>
        <w:t xml:space="preserve">public/landing-pages/inner-green-assets/</w:t>
      </w:r>
      <w:r>
        <w:t xml:space="preserve"> and hash-checked.</w:t>
      </w:r>
    </w:p>
    <w:tbl>
      <w:tblPr>
        <w:tblStyle w:val="TableGrid"/>
        <w:tblW w:w="9360" w:type="dxa"/>
        <w:tblLayout w:type="fixed"/>
        <w:tblLook w:val="04A0" w:firstRow="1" w:lastRow="0" w:firstColumn="0" w:lastColumn="0" w:noHBand="0" w:noVBand="1"/>
      </w:tblPr>
      <w:tblGrid>
        <w:gridCol w:w="4700"/>
        <w:gridCol w:w="1500"/>
        <w:gridCol w:w="3160"/>
      </w:tblGrid>
      <w:tr>
        <w:trPr>
          <w:tblHeader/>
        </w:trPr>
        <w:tc>
          <w:tcPr>
            <w:tcW w:w="4700" w:type="dxa"/>
            <w:shd w:val="clear" w:color="auto" w:fill="F2F2F2"/>
          </w:tcPr>
          <w:p>
            <w:pPr/>
            <w:r>
              <w:t xml:space="preserve">Asset</w:t>
            </w:r>
          </w:p>
        </w:tc>
        <w:tc>
          <w:tcPr>
            <w:tcW w:w="1500" w:type="dxa"/>
            <w:shd w:val="clear" w:color="auto" w:fill="F2F2F2"/>
          </w:tcPr>
          <w:p>
            <w:pPr/>
            <w:r>
              <w:t xml:space="preserve">Bytes</w:t>
            </w:r>
          </w:p>
        </w:tc>
        <w:tc>
          <w:tcPr>
            <w:tcW w:w="3160" w:type="dxa"/>
            <w:shd w:val="clear" w:color="auto" w:fill="F2F2F2"/>
          </w:tcPr>
          <w:p>
            <w:pPr/>
            <w:r>
              <w:t xml:space="preserve">Check status</w:t>
            </w:r>
          </w:p>
        </w:tc>
      </w:tr>
      <w:tr>
        <w:tc>
          <w:tcPr>
            <w:tcW w:w="4700" w:type="dxa"/>
          </w:tcPr>
          <w:p>
            <w:pPr/>
            <w:r>
              <w:rPr>
                <w:rStyle w:val="CodeChar"/>
              </w:rPr>
              <w:t xml:space="preserve">card-ecostove.jpg</w:t>
            </w:r>
          </w:p>
        </w:tc>
        <w:tc>
          <w:tcPr>
            <w:tcW w:w="1500" w:type="dxa"/>
          </w:tcPr>
          <w:p>
            <w:pPr/>
            <w:r>
              <w:t xml:space="preserve">290,988</w:t>
            </w:r>
          </w:p>
        </w:tc>
        <w:tc>
          <w:tcPr>
            <w:tcW w:w="3160" w:type="dxa"/>
          </w:tcPr>
          <w:p>
            <w:pPr/>
            <w:r>
              <w:t xml:space="preserve">Verified, exact match (70ce08408490)</w:t>
            </w:r>
          </w:p>
        </w:tc>
      </w:tr>
      <w:tr>
        <w:tc>
          <w:tcPr>
            <w:tcW w:w="4700" w:type="dxa"/>
          </w:tcPr>
          <w:p>
            <w:pPr/>
            <w:r>
              <w:rPr>
                <w:rStyle w:val="CodeChar"/>
              </w:rPr>
              <w:t xml:space="preserve">card-ethos.jpg</w:t>
            </w:r>
          </w:p>
        </w:tc>
        <w:tc>
          <w:tcPr>
            <w:tcW w:w="1500" w:type="dxa"/>
          </w:tcPr>
          <w:p>
            <w:pPr/>
            <w:r>
              <w:t xml:space="preserve">316,720</w:t>
            </w:r>
          </w:p>
        </w:tc>
        <w:tc>
          <w:tcPr>
            <w:tcW w:w="3160" w:type="dxa"/>
          </w:tcPr>
          <w:p>
            <w:pPr/>
            <w:r>
              <w:t xml:space="preserve">Verified, exact match (337627390f49)</w:t>
            </w:r>
          </w:p>
        </w:tc>
      </w:tr>
      <w:tr>
        <w:tc>
          <w:tcPr>
            <w:tcW w:w="4700" w:type="dxa"/>
          </w:tcPr>
          <w:p>
            <w:pPr/>
            <w:r>
              <w:rPr>
                <w:rStyle w:val="CodeChar"/>
              </w:rPr>
              <w:t xml:space="preserve">lexend-latin.woff2</w:t>
            </w:r>
          </w:p>
        </w:tc>
        <w:tc>
          <w:tcPr>
            <w:tcW w:w="1500" w:type="dxa"/>
          </w:tcPr>
          <w:p>
            <w:pPr/>
            <w:r>
              <w:t xml:space="preserve">39,692</w:t>
            </w:r>
          </w:p>
        </w:tc>
        <w:tc>
          <w:tcPr>
            <w:tcW w:w="3160" w:type="dxa"/>
          </w:tcPr>
          <w:p>
            <w:pPr/>
            <w:r>
              <w:t xml:space="preserve">Verified, exact match (1ec8f6ee2750)</w:t>
            </w:r>
          </w:p>
        </w:tc>
      </w:tr>
    </w:tbl>
    <w:p>
      <w:pPr/>
      <w:r>
        <w:t xml:space="preserve"/>
      </w:r>
    </w:p>
    <w:p>
      <w:pPr>
        <w:pStyle w:val="Heading4"/>
      </w:pPr>
      <w:r>
        <w:t xml:space="preserve">Integration rules</w:t>
      </w:r>
    </w:p>
    <w:p>
      <w:pPr>
        <w:pStyle w:val="ListParagraph"/>
        <w:numPr>
          <w:ilvl w:val="0"/>
          <w:numId w:val="12"/>
        </w:numPr>
      </w:pPr>
      <w:r>
        <w:t xml:space="preserve">Preserve the authored structure, styling, shaders, motion, interactions, responsive behaviour, dependencies and asset paths. No edits to the hero source.</w:t>
      </w:r>
    </w:p>
    <w:p>
      <w:pPr>
        <w:pStyle w:val="ListParagraph"/>
        <w:numPr>
          <w:ilvl w:val="0"/>
          <w:numId w:val="12"/>
        </w:numPr>
      </w:pPr>
      <w:r>
        <w:t xml:space="preserve">Use the configured props above as given, including the </w:t>
      </w:r>
      <w:r>
        <w:rPr>
          <w:rStyle w:val="CodeChar"/>
        </w:rPr>
        <w:t xml:space="preserve">living-green</w:t>
      </w:r>
      <w:r>
        <w:t xml:space="preserve"> variant.</w:t>
      </w:r>
    </w:p>
    <w:p>
      <w:pPr>
        <w:pStyle w:val="ListParagraph"/>
        <w:numPr>
          <w:ilvl w:val="0"/>
          <w:numId w:val="12"/>
        </w:numPr>
      </w:pPr>
      <w:r>
        <w:t xml:space="preserve">Components that render a full HTML document expect their runtime files at the same root-relative URLs as the ThreeUI preview, so keep the </w:t>
      </w:r>
      <w:r>
        <w:rPr>
          <w:rStyle w:val="CodeChar"/>
        </w:rPr>
        <w:t xml:space="preserve">/landing-pages/</w:t>
      </w:r>
      <w:r>
        <w:t xml:space="preserve"> paths unchanged.</w:t>
      </w:r>
    </w:p>
    <w:p>
      <w:pPr>
        <w:pStyle w:val="ListParagraph"/>
        <w:numPr>
          <w:ilvl w:val="0"/>
          <w:numId w:val="12"/>
        </w:numPr>
      </w:pPr>
      <w:r>
        <w:t xml:space="preserve">Build directly in the website project. Do not embed the ThreeUI documentation page.</w:t>
      </w:r>
    </w:p>
    <w:p>
      <w:pPr>
        <w:pStyle w:val="ListParagraph"/>
        <w:numPr>
          <w:ilvl w:val="0"/>
          <w:numId w:val="12"/>
        </w:numPr>
      </w:pPr>
      <w:r>
        <w:t xml:space="preserve">Read the complete registered source before editing. If it cannot be retrieved, stop and report that instead of approximating it.</w:t>
      </w:r>
    </w:p>
    <w:p>
      <w:pPr>
        <w:pStyle w:val="Heading4"/>
      </w:pPr>
      <w:r>
        <w:t xml:space="preserve">How it fits the LeafSense look</w:t>
      </w:r>
    </w:p>
    <w:p>
      <w:pPr>
        <w:pStyle w:val="ListParagraph"/>
        <w:numPr>
          <w:ilvl w:val="0"/>
          <w:numId w:val="12"/>
        </w:numPr>
      </w:pPr>
      <w:r>
        <w:rPr>
          <w:b/>
        </w:rPr>
        <w:t xml:space="preserve">Typography exception</w:t>
      </w:r>
      <w:r>
        <w:t xml:space="preserve">: the hero uses Lexend at weight 300 and 63 px for the headline. The app tokens in B3 (Inter, weight 700 titles) apply to the PWA only. Treat Lexend as a website-only face.</w:t>
      </w:r>
    </w:p>
    <w:p>
      <w:pPr>
        <w:pStyle w:val="ListParagraph"/>
        <w:numPr>
          <w:ilvl w:val="0"/>
          <w:numId w:val="12"/>
        </w:numPr>
      </w:pPr>
      <w:r>
        <w:rPr>
          <w:b/>
        </w:rPr>
        <w:t xml:space="preserve">Colour</w:t>
      </w:r>
      <w:r>
        <w:t xml:space="preserve">: the hero is dark moss with white text, which sits comfortably beside the leaf-500 and leaf-700 greens in B3. Check the white-on-scene text against the WCAG AA 4.5:1 target from B7 at the real viewport sizes.</w:t>
      </w:r>
    </w:p>
    <w:p>
      <w:pPr>
        <w:pStyle w:val="ListParagraph"/>
        <w:numPr>
          <w:ilvl w:val="0"/>
          <w:numId w:val="12"/>
        </w:numPr>
      </w:pPr>
      <w:r>
        <w:rPr>
          <w:b/>
        </w:rPr>
        <w:t xml:space="preserve">Motion and performance</w:t>
      </w:r>
      <w:r>
        <w:t xml:space="preserve">: the scene is WebGL. Following B6 and B7, the page should respect </w:t>
      </w:r>
      <w:r>
        <w:rPr>
          <w:rStyle w:val="CodeChar"/>
        </w:rPr>
        <w:t xml:space="preserve">prefers-reduced-motion</w:t>
      </w:r>
      <w:r>
        <w:t xml:space="preserve"> and drop to a static image on low-end devices. This is a page-level guard around the hero, not a change to its source.</w:t>
      </w:r>
    </w:p>
    <w:p>
      <w:pPr>
        <w:pStyle w:val="ListParagraph"/>
        <w:numPr>
          <w:ilvl w:val="0"/>
          <w:numId w:val="12"/>
        </w:numPr>
      </w:pPr>
      <w:r>
        <w:rPr>
          <w:b/>
        </w:rPr>
        <w:t xml:space="preserve">Below the hero</w:t>
      </w:r>
      <w:r>
        <w:t xml:space="preserve">: the rest of the website can use the Liquid Glass tokens from B3 for cards and buttons, so the page reads as one product.</w:t>
      </w:r>
    </w:p>
    <w:p>
      <w:pPr>
        <w:pStyle w:val="Heading4"/>
      </w:pPr>
      <w:r>
        <w:t xml:space="preserve">Verification before sign-off</w:t>
      </w:r>
    </w:p>
    <w:p>
      <w:pPr>
        <w:pStyle w:val="ListParagraph"/>
        <w:numPr>
          <w:ilvl w:val="0"/>
          <w:numId w:val="12"/>
        </w:numPr>
      </w:pPr>
      <w:r>
        <w:t xml:space="preserve">Every file and binary asset hash matches the table above.</w:t>
      </w:r>
    </w:p>
    <w:p>
      <w:pPr>
        <w:pStyle w:val="ListParagraph"/>
        <w:numPr>
          <w:ilvl w:val="0"/>
          <w:numId w:val="12"/>
        </w:numPr>
      </w:pPr>
      <w:r>
        <w:t xml:space="preserve">Render the page in a browser and confirm the scene, pollen, butterfly and liquid-metal controls all appear and respond to interaction.</w:t>
      </w:r>
    </w:p>
    <w:p>
      <w:pPr>
        <w:pStyle w:val="ListParagraph"/>
        <w:numPr>
          <w:ilvl w:val="0"/>
          <w:numId w:val="12"/>
        </w:numPr>
      </w:pPr>
      <w:r>
        <w:t xml:space="preserve">Check desktop, tablet and phone widths, plus a clean browser console.</w:t>
      </w:r>
    </w:p>
    <w:p>
      <w:pPr>
        <w:pStyle w:val="ListParagraph"/>
        <w:numPr>
          <w:ilvl w:val="0"/>
          <w:numId w:val="12"/>
        </w:numPr>
      </w:pPr>
      <w:r>
        <w:t xml:space="preserve">Test with reduced motion on and on a low-end phone.</w:t>
      </w:r>
    </w:p>
    <w:p>
      <w:pPr>
        <w:pStyle w:val="Heading4"/>
      </w:pPr>
      <w:r>
        <w:t xml:space="preserve">Open items</w:t>
      </w:r>
    </w:p>
    <w:p>
      <w:pPr>
        <w:pStyle w:val="ListParagraph"/>
        <w:numPr>
          <w:ilvl w:val="0"/>
          <w:numId w:val="12"/>
        </w:numPr>
      </w:pPr>
      <w:r>
        <w:rPr>
          <w:b/>
        </w:rPr>
        <w:t xml:space="preserve">Full source bundle not yet retrieved</w:t>
      </w:r>
      <w:r>
        <w:t xml:space="preserve">: the registered bundle at threeui.com/source-code/sylva-hero.json could not be fetched in this session. The scene itself (canonical HTML, Three.js runtime and assets) is verified, but the four wrapper files marked above still need to be pulled from the bundle and hash-checked.</w:t>
      </w:r>
    </w:p>
    <w:p>
      <w:pPr>
        <w:pStyle w:val="ListParagraph"/>
        <w:numPr>
          <w:ilvl w:val="0"/>
          <w:numId w:val="12"/>
        </w:numPr>
      </w:pPr>
      <w:r>
        <w:rPr>
          <w:b/>
        </w:rPr>
        <w:t xml:space="preserve">Placeholder copy</w:t>
      </w:r>
      <w:r>
        <w:t xml:space="preserve">: the hero text still reads as the Sylva template (for example "Let the wild lead." and the 282 ha / 43 species stats). Decide whether to swap in LeafSense copy and numbers; any stat must be traceable to a source, as required in C12.</w:t>
      </w:r>
    </w:p>
    <w:p>
      <w:pPr>
        <w:pStyle w:val="ListParagraph"/>
        <w:numPr>
          <w:ilvl w:val="0"/>
          <w:numId w:val="12"/>
        </w:numPr>
      </w:pPr>
      <w:r>
        <w:rPr>
          <w:b/>
        </w:rPr>
        <w:t xml:space="preserve">Licence tier</w:t>
      </w:r>
      <w:r>
        <w:t xml:space="preserve">: the ThreeUI Community repository is MIT licensed. Confirm the </w:t>
      </w:r>
      <w:r>
        <w:rPr>
          <w:rStyle w:val="CodeChar"/>
        </w:rPr>
        <w:t xml:space="preserve">living-green</w:t>
      </w:r>
      <w:r>
        <w:t xml:space="preserve"> variant is covered by the same tier before shipping.</w:t>
      </w:r>
    </w:p>
    <w:p>
      <w:pPr>
        <w:pStyle w:val="Heading2"/>
      </w:pPr>
      <w:r>
        <w:t xml:space="preserve">Part C: Tech Doc</w:t>
      </w:r>
    </w:p>
    <w:p>
      <w:pPr>
        <w:pStyle w:val="Heading3"/>
      </w:pPr>
      <w:r>
        <w:t xml:space="preserve">C1. System architecture</w:t>
      </w:r>
    </w:p>
    <w:p>
      <w:pPr/>
      <w:r>
        <w:t xml:space="preserve">Three tiers, offline-first:</w:t>
      </w:r>
    </w:p>
    <w:p>
      <w:pPr>
        <w:pStyle w:val="ListParagraph"/>
        <w:numPr>
          <w:ilvl w:val="0"/>
          <w:numId w:val="13"/>
        </w:numPr>
      </w:pPr>
      <w:r>
        <w:rPr>
          <w:b/>
        </w:rPr>
        <w:t xml:space="preserve">Device (PWA)</w:t>
      </w:r>
      <w:r>
        <w:t xml:space="preserve">: camera capture, quality checks, on-device model inference, local database, service worker for offline, background sync.</w:t>
      </w:r>
    </w:p>
    <w:p>
      <w:pPr>
        <w:pStyle w:val="ListParagraph"/>
        <w:numPr>
          <w:ilvl w:val="0"/>
          <w:numId w:val="13"/>
        </w:numPr>
      </w:pPr>
      <w:r>
        <w:rPr>
          <w:b/>
        </w:rPr>
        <w:t xml:space="preserve">Edge / API (FastAPI)</w:t>
      </w:r>
      <w:r>
        <w:t xml:space="preserve">: report ingestion, geohash aggregation, forecast service, advisory content, alert dispatch.</w:t>
      </w:r>
    </w:p>
    <w:p>
      <w:pPr>
        <w:pStyle w:val="ListParagraph"/>
        <w:numPr>
          <w:ilvl w:val="0"/>
          <w:numId w:val="13"/>
        </w:numPr>
      </w:pPr>
      <w:r>
        <w:rPr>
          <w:b/>
        </w:rPr>
        <w:t xml:space="preserve">Data and ML pipeline</w:t>
      </w:r>
      <w:r>
        <w:t xml:space="preserve">: weather ingestion, feature store, model training, evaluation, export to ONNX / TFLite.</w:t>
      </w:r>
    </w:p>
    <w:p>
      <w:pPr>
        <w:pStyle w:val="Code"/>
      </w:pPr>
      <w:bookmarkStart w:id="1" w:name="bongo_lang_mermaid_1"/>
      <w:bookmarkEnd w:id="1"/>
      <w:r>
        <w:t xml:space="preserve">flowchart LR</w:t>
        <w:br/>
        <w:t xml:space="preserve">  A[Camera] --&gt; B[Quality check]</w:t>
        <w:br/>
        <w:t xml:space="preserve">  B --&gt; C[On-device model: ONNX int8]</w:t>
        <w:br/>
        <w:t xml:space="preserve">  C --&gt; D{Confident and in-distribution?}</w:t>
        <w:br/>
        <w:t xml:space="preserve">  D -- yes --&gt; E[Diagnosis plus advisory]</w:t>
        <w:br/>
        <w:t xml:space="preserve">  D -- no --&gt; F[Not sure state]</w:t>
        <w:br/>
        <w:t xml:space="preserve">  E --&gt; G[(Local DB)]</w:t>
        <w:br/>
        <w:t xml:space="preserve">  G -- when online --&gt; H[Sync API]</w:t>
        <w:br/>
        <w:t xml:space="preserve">  H --&gt; I[(Geohash report store)]</w:t>
        <w:br/>
        <w:t xml:space="preserve">  W[Weather APIs] --&gt; J[Feature builder]</w:t>
        <w:br/>
        <w:t xml:space="preserve">  I --&gt; J</w:t>
        <w:br/>
        <w:t xml:space="preserve">  J --&gt; K[Risk forecaster]</w:t>
        <w:br/>
        <w:t xml:space="preserve">  K --&gt; L[Forecast map and alerts]</w:t>
        <w:br/>
        <w:t xml:space="preserve">  L --&gt; G</w:t>
      </w:r>
    </w:p>
    <w:p>
      <w:pPr>
        <w:pStyle w:val="Heading3"/>
      </w:pPr>
      <w:r>
        <w:t xml:space="preserve">C2. Vision model</w:t>
      </w:r>
    </w:p>
    <w:p>
      <w:pPr/>
      <w:r>
        <w:rPr>
          <w:b/>
        </w:rPr>
        <w:t xml:space="preserve">Data</w:t>
      </w:r>
    </w:p>
    <w:p>
      <w:pPr>
        <w:pStyle w:val="ListParagraph"/>
        <w:numPr>
          <w:ilvl w:val="0"/>
          <w:numId w:val="14"/>
        </w:numPr>
      </w:pPr>
      <w:r>
        <w:t xml:space="preserve">PlantVillage (large, lab-style images, 38 classes across 14 crops) for breadth.</w:t>
      </w:r>
    </w:p>
    <w:p>
      <w:pPr>
        <w:pStyle w:val="ListParagraph"/>
        <w:numPr>
          <w:ilvl w:val="0"/>
          <w:numId w:val="14"/>
        </w:numPr>
      </w:pPr>
      <w:r>
        <w:t xml:space="preserve">PlantDoc (smaller, real-field images) and any locally collected photos for field robustness.</w:t>
      </w:r>
    </w:p>
    <w:p>
      <w:pPr>
        <w:pStyle w:val="ListParagraph"/>
        <w:numPr>
          <w:ilvl w:val="0"/>
          <w:numId w:val="14"/>
        </w:numPr>
      </w:pPr>
      <w:r>
        <w:t xml:space="preserve">IP102 or similar for pest identification as a stretch goal.</w:t>
      </w:r>
    </w:p>
    <w:p>
      <w:pPr>
        <w:pStyle w:val="ListParagraph"/>
        <w:numPr>
          <w:ilvl w:val="0"/>
          <w:numId w:val="14"/>
        </w:numPr>
      </w:pPr>
      <w:r>
        <w:t xml:space="preserve">Build a small </w:t>
      </w:r>
      <w:r>
        <w:rPr>
          <w:b/>
        </w:rPr>
        <w:t xml:space="preserve">field test set</w:t>
      </w:r>
      <w:r>
        <w:t xml:space="preserve"> that is never used for training, ideally with phone photos taken locally, and report all metrics on it separately from lab-style splits.</w:t>
      </w:r>
    </w:p>
    <w:p>
      <w:pPr>
        <w:pStyle w:val="ListParagraph"/>
        <w:numPr>
          <w:ilvl w:val="0"/>
          <w:numId w:val="14"/>
        </w:numPr>
      </w:pPr>
      <w:r>
        <w:t xml:space="preserve">Split by source image or plant, never by augmentation, to avoid leakage.</w:t>
      </w:r>
    </w:p>
    <w:p>
      <w:pPr/>
      <w:r>
        <w:rPr>
          <w:b/>
        </w:rPr>
        <w:t xml:space="preserve">Model</w:t>
      </w:r>
    </w:p>
    <w:p>
      <w:pPr>
        <w:pStyle w:val="ListParagraph"/>
        <w:numPr>
          <w:ilvl w:val="0"/>
          <w:numId w:val="15"/>
        </w:numPr>
      </w:pPr>
      <w:r>
        <w:t xml:space="preserve">Backbone: MobileNetV3-Large or EfficientNet-Lite0 (strong accuracy per MB; both quantize well). Optional comparison against a small ViT for the report.</w:t>
      </w:r>
    </w:p>
    <w:p>
      <w:pPr>
        <w:pStyle w:val="ListParagraph"/>
        <w:numPr>
          <w:ilvl w:val="0"/>
          <w:numId w:val="15"/>
        </w:numPr>
      </w:pPr>
      <w:r>
        <w:t xml:space="preserve">Training: transfer learning from ImageNet weights, stage 1 train head, stage 2 fine-tune last blocks, cosine LR schedule, label smoothing 0.1.</w:t>
      </w:r>
    </w:p>
    <w:p>
      <w:pPr>
        <w:pStyle w:val="ListParagraph"/>
        <w:numPr>
          <w:ilvl w:val="0"/>
          <w:numId w:val="15"/>
        </w:numPr>
      </w:pPr>
      <w:r>
        <w:t xml:space="preserve">Augmentation aimed at the lab-to-field gap: random background replacement or cutout, colour jitter, blur, JPEG compression, random crop and rotation, lighting and shadow simulation, MixUp or CutMix.</w:t>
      </w:r>
    </w:p>
    <w:p>
      <w:pPr>
        <w:pStyle w:val="ListParagraph"/>
        <w:numPr>
          <w:ilvl w:val="0"/>
          <w:numId w:val="15"/>
        </w:numPr>
      </w:pPr>
      <w:r>
        <w:t xml:space="preserve">Class imbalance: class-balanced sampling or focal loss.</w:t>
      </w:r>
    </w:p>
    <w:p>
      <w:pPr>
        <w:pStyle w:val="ListParagraph"/>
        <w:numPr>
          <w:ilvl w:val="0"/>
          <w:numId w:val="15"/>
        </w:numPr>
      </w:pPr>
      <w:r>
        <w:t xml:space="preserve">Optional segmentation step (a light leaf-segmentation model such as YOLO-seg nano) to crop the leaf and remove background, which often improves field robustness.</w:t>
      </w:r>
    </w:p>
    <w:p>
      <w:pPr/>
      <w:r>
        <w:rPr>
          <w:b/>
        </w:rPr>
        <w:t xml:space="preserve">Trustworthiness</w:t>
      </w:r>
    </w:p>
    <w:p>
      <w:pPr>
        <w:pStyle w:val="ListParagraph"/>
        <w:numPr>
          <w:ilvl w:val="0"/>
          <w:numId w:val="16"/>
        </w:numPr>
      </w:pPr>
      <w:r>
        <w:t xml:space="preserve">Calibration: temperature scaling on a validation set; report reliability diagram and ECE.</w:t>
      </w:r>
    </w:p>
    <w:p>
      <w:pPr>
        <w:pStyle w:val="ListParagraph"/>
        <w:numPr>
          <w:ilvl w:val="0"/>
          <w:numId w:val="16"/>
        </w:numPr>
      </w:pPr>
      <w:r>
        <w:t xml:space="preserve">Out-of-distribution handling: add a "not a leaf / other" class trained on non-leaf images, and use max-softmax or energy score thresholds. Report rejection precision and recall.</w:t>
      </w:r>
    </w:p>
    <w:p>
      <w:pPr>
        <w:pStyle w:val="ListParagraph"/>
        <w:numPr>
          <w:ilvl w:val="0"/>
          <w:numId w:val="16"/>
        </w:numPr>
      </w:pPr>
      <w:r>
        <w:t xml:space="preserve">Explainability: Grad-CAM heatmaps in the result sheet.</w:t>
      </w:r>
    </w:p>
    <w:p>
      <w:pPr>
        <w:pStyle w:val="ListParagraph"/>
        <w:numPr>
          <w:ilvl w:val="0"/>
          <w:numId w:val="16"/>
        </w:numPr>
      </w:pPr>
      <w:r>
        <w:t xml:space="preserve">Active learning: user feedback ("was this right?") and low-confidence scans are queued for expert labelling and the next training round.</w:t>
      </w:r>
    </w:p>
    <w:p>
      <w:pPr/>
      <w:r>
        <w:rPr>
          <w:b/>
        </w:rPr>
        <w:t xml:space="preserve">Edge deployment</w:t>
      </w:r>
    </w:p>
    <w:p>
      <w:pPr>
        <w:pStyle w:val="ListParagraph"/>
        <w:numPr>
          <w:ilvl w:val="0"/>
          <w:numId w:val="17"/>
        </w:numPr>
      </w:pPr>
      <w:r>
        <w:t xml:space="preserve">Export to ONNX, then post-training static int8 quantization with a representative calibration set (quantization-aware training if accuracy drops too much).</w:t>
      </w:r>
    </w:p>
    <w:p>
      <w:pPr>
        <w:pStyle w:val="ListParagraph"/>
        <w:numPr>
          <w:ilvl w:val="0"/>
          <w:numId w:val="17"/>
        </w:numPr>
      </w:pPr>
      <w:r>
        <w:t xml:space="preserve">In-browser inference via ONNX Runtime Web (WASM with SIMD, WebGPU where available) or TensorFlow.js; cache the model with the service worker.</w:t>
      </w:r>
    </w:p>
    <w:p>
      <w:pPr>
        <w:pStyle w:val="ListParagraph"/>
        <w:numPr>
          <w:ilvl w:val="0"/>
          <w:numId w:val="17"/>
        </w:numPr>
      </w:pPr>
      <w:r>
        <w:t xml:space="preserve">Benchmark on at least one low-end and one mid-range Android phone; record median and p95 latency, memory, and model size, and put the table in the final deck.</w:t>
      </w:r>
    </w:p>
    <w:p>
      <w:pPr>
        <w:pStyle w:val="ListParagraph"/>
        <w:numPr>
          <w:ilvl w:val="0"/>
          <w:numId w:val="17"/>
        </w:numPr>
      </w:pPr>
      <w:r>
        <w:t xml:space="preserve">Stretch: native Flutter or Android app with TFLite and NNAPI delegate.</w:t>
      </w:r>
    </w:p>
    <w:p>
      <w:pPr>
        <w:pStyle w:val="Heading3"/>
      </w:pPr>
      <w:r>
        <w:t xml:space="preserve">C3. Localized forecasting</w:t>
      </w:r>
    </w:p>
    <w:p>
      <w:pPr/>
      <w:r>
        <w:rPr>
          <w:b/>
        </w:rPr>
        <w:t xml:space="preserve">Goal</w:t>
      </w:r>
      <w:r>
        <w:t xml:space="preserve">: estimate, for each 1 km cell and each of the next 7 days, the probability of a disease or pest outbreak for a given crop.</w:t>
      </w:r>
    </w:p>
    <w:p>
      <w:pPr/>
      <w:r>
        <w:rPr>
          <w:b/>
        </w:rPr>
        <w:t xml:space="preserve">Inputs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Source</w:t>
            </w:r>
          </w:p>
        </w:tc>
        <w:tc>
          <w:tcPr>
            <w:tcW w:w="4920" w:type="dxa"/>
            <w:shd w:val="clear" w:color="auto" w:fill="F2F2F2"/>
          </w:tcPr>
          <w:p>
            <w:pPr/>
            <w:r>
              <w:t xml:space="preserve">Features</w:t>
            </w:r>
          </w:p>
        </w:tc>
      </w:tr>
      <w:tr>
        <w:tc>
          <w:tcPr>
            <w:tcW w:w="4440" w:type="dxa"/>
          </w:tcPr>
          <w:p>
            <w:pPr/>
            <w:r>
              <w:t xml:space="preserve">Weather (Open-Meteo, NASA POWER, or IMD data where accessible)</w:t>
            </w:r>
          </w:p>
        </w:tc>
        <w:tc>
          <w:tcPr>
            <w:tcW w:w="4920" w:type="dxa"/>
          </w:tcPr>
          <w:p>
            <w:pPr/>
            <w:r>
              <w:t xml:space="preserve">Temperature, humidity, rainfall, wind, leaf-wetness proxy (hours with relative humidity above 90%), growing degree-days, 7-day forecast</w:t>
            </w:r>
          </w:p>
        </w:tc>
      </w:tr>
      <w:tr>
        <w:tc>
          <w:tcPr>
            <w:tcW w:w="4440" w:type="dxa"/>
          </w:tcPr>
          <w:p>
            <w:pPr/>
            <w:r>
              <w:t xml:space="preserve">Crop calendar</w:t>
            </w:r>
          </w:p>
        </w:tc>
        <w:tc>
          <w:tcPr>
            <w:tcW w:w="4920" w:type="dxa"/>
          </w:tcPr>
          <w:p>
            <w:pPr/>
            <w:r>
              <w:t xml:space="preserve">Crop, sowing date, growth stage</w:t>
            </w:r>
          </w:p>
        </w:tc>
      </w:tr>
      <w:tr>
        <w:tc>
          <w:tcPr>
            <w:tcW w:w="4440" w:type="dxa"/>
          </w:tcPr>
          <w:p>
            <w:pPr/>
            <w:r>
              <w:t xml:space="preserve">Community scans</w:t>
            </w:r>
          </w:p>
        </w:tc>
        <w:tc>
          <w:tcPr>
            <w:tcW w:w="4920" w:type="dxa"/>
          </w:tcPr>
          <w:p>
            <w:pPr/>
            <w:r>
              <w:t xml:space="preserve">Count and share of positive scans per disease within neighbouring cells over recent days</w:t>
            </w:r>
          </w:p>
        </w:tc>
      </w:tr>
      <w:tr>
        <w:tc>
          <w:tcPr>
            <w:tcW w:w="4440" w:type="dxa"/>
          </w:tcPr>
          <w:p>
            <w:pPr/>
            <w:r>
              <w:t xml:space="preserve">Optional remote sensing</w:t>
            </w:r>
          </w:p>
        </w:tc>
        <w:tc>
          <w:tcPr>
            <w:tcW w:w="4920" w:type="dxa"/>
          </w:tcPr>
          <w:p>
            <w:pPr/>
            <w:r>
              <w:t xml:space="preserve">NDVI trend from Sentinel-2 as a stress indicator</w:t>
            </w:r>
          </w:p>
        </w:tc>
      </w:tr>
      <w:tr>
        <w:tc>
          <w:tcPr>
            <w:tcW w:w="4440" w:type="dxa"/>
          </w:tcPr>
          <w:p>
            <w:pPr/>
            <w:r>
              <w:t xml:space="preserve">Static context</w:t>
            </w:r>
          </w:p>
        </w:tc>
        <w:tc>
          <w:tcPr>
            <w:tcW w:w="4920" w:type="dxa"/>
          </w:tcPr>
          <w:p>
            <w:pPr/>
            <w:r>
              <w:t xml:space="preserve">Elevation, irrigation type, previous season incidence</w:t>
            </w:r>
          </w:p>
        </w:tc>
      </w:tr>
    </w:tbl>
    <w:p>
      <w:pPr/>
      <w:r>
        <w:rPr>
          <w:b/>
        </w:rPr>
        <w:t xml:space="preserve">Two-layer approach (robust when labels are scarce)</w:t>
      </w:r>
    </w:p>
    <w:p>
      <w:pPr>
        <w:pStyle w:val="ListParagraph"/>
        <w:numPr>
          <w:ilvl w:val="0"/>
          <w:numId w:val="18"/>
        </w:numPr>
      </w:pPr>
      <w:r>
        <w:rPr>
          <w:b/>
        </w:rPr>
        <w:t xml:space="preserve">Rule layer</w:t>
      </w:r>
      <w:r>
        <w:t xml:space="preserve">: published disease-conducive condition rules (for example, humidity and temperature windows that favour late blight, powdery mildew, rusts) and pest degree-day models. This gives a defensible baseline from day one.</w:t>
      </w:r>
    </w:p>
    <w:p>
      <w:pPr>
        <w:pStyle w:val="ListParagraph"/>
        <w:numPr>
          <w:ilvl w:val="0"/>
          <w:numId w:val="18"/>
        </w:numPr>
      </w:pPr>
      <w:r>
        <w:rPr>
          <w:b/>
        </w:rPr>
        <w:t xml:space="preserve">Learned layer</w:t>
      </w:r>
      <w:r>
        <w:t xml:space="preserve">: gradient-boosted trees (LightGBM) on engineered features, trained on whatever labelled history is available: scan reports, public outbreak records, or a documented proxy label. Add the rule-layer score as a feature.</w:t>
      </w:r>
    </w:p>
    <w:p>
      <w:pPr>
        <w:pStyle w:val="ListParagraph"/>
        <w:numPr>
          <w:ilvl w:val="0"/>
          <w:numId w:val="18"/>
        </w:numPr>
      </w:pPr>
      <w:r>
        <w:rPr>
          <w:b/>
        </w:rPr>
        <w:t xml:space="preserve">Spatial smoothing</w:t>
      </w:r>
      <w:r>
        <w:t xml:space="preserve">: neighbour-aggregated features (geohash neighbours) and a simple Gaussian kernel to spread community signal to nearby cells.</w:t>
      </w:r>
    </w:p>
    <w:p>
      <w:pPr>
        <w:pStyle w:val="ListParagraph"/>
        <w:numPr>
          <w:ilvl w:val="0"/>
          <w:numId w:val="18"/>
        </w:numPr>
      </w:pPr>
      <w:r>
        <w:rPr>
          <w:b/>
        </w:rPr>
        <w:t xml:space="preserve">Output</w:t>
      </w:r>
      <w:r>
        <w:t xml:space="preserve">: risk probability, a three-level class (Low, Watch, High), and the top contributing factors (SHAP values) for the "why" panel.</w:t>
      </w:r>
    </w:p>
    <w:p>
      <w:pPr/>
      <w:r>
        <w:rPr>
          <w:b/>
        </w:rPr>
        <w:t xml:space="preserve">Validation</w:t>
      </w:r>
      <w:r>
        <w:t xml:space="preserve">: time-based split (train on earlier weeks, test on later ones) and, if possible, spatial hold-out by block. Report AUROC, precision at top-k alerts, and calibration. If real labels are too sparse, say so and present the rule layer plus a clearly labelled simulation with injected outbreaks for the demo.</w:t>
      </w:r>
    </w:p>
    <w:p>
      <w:pPr>
        <w:pStyle w:val="Heading3"/>
      </w:pPr>
      <w:r>
        <w:t xml:space="preserve">C4. Data model (core tables)</w:t>
      </w:r>
    </w:p>
    <w:tbl>
      <w:tblPr>
        <w:tblStyle w:val="TableGrid"/>
        <w:tblW w:w="0" w:type="auto"/>
        <w:tblLayout w:type="fixed"/>
        <w:tblLook w:val="04A0" w:firstRow="1" w:lastRow="0" w:firstColumn="0" w:lastColumn="0" w:noHBand="0" w:noVBand="1"/>
      </w:tblPr>
      <w:tblGrid>
        <w:gridCol w:w="2284"/>
        <w:gridCol w:w="7075"/>
      </w:tblGrid>
      <w:tr>
        <w:trPr>
          <w:tblHeader/>
        </w:trPr>
        <w:tc>
          <w:tcPr>
            <w:tcW w:w="2284" w:type="dxa"/>
            <w:shd w:val="clear" w:color="auto" w:fill="F2F2F2"/>
          </w:tcPr>
          <w:p>
            <w:pPr/>
            <w:r>
              <w:t xml:space="preserve">Table</w:t>
            </w:r>
          </w:p>
        </w:tc>
        <w:tc>
          <w:tcPr>
            <w:tcW w:w="7075" w:type="dxa"/>
            <w:shd w:val="clear" w:color="auto" w:fill="F2F2F2"/>
          </w:tcPr>
          <w:p>
            <w:pPr/>
            <w:r>
              <w:t xml:space="preserve">Key fields</w:t>
            </w:r>
          </w:p>
        </w:tc>
      </w:tr>
      <w:tr>
        <w:tc>
          <w:tcPr>
            <w:tcW w:w="2284" w:type="dxa"/>
          </w:tcPr>
          <w:p>
            <w:pPr/>
            <w:r>
              <w:t xml:space="preserve">scan</w:t>
            </w:r>
          </w:p>
        </w:tc>
        <w:tc>
          <w:tcPr>
            <w:tcW w:w="7075" w:type="dxa"/>
          </w:tcPr>
          <w:p>
            <w:pPr/>
            <w:r>
              <w:t xml:space="preserve">id, device_hash, crop, label, confidence, ood_score, geohash7, ts, model_version, feedback</w:t>
            </w:r>
          </w:p>
        </w:tc>
      </w:tr>
      <w:tr>
        <w:tc>
          <w:tcPr>
            <w:tcW w:w="2284" w:type="dxa"/>
          </w:tcPr>
          <w:p>
            <w:pPr/>
            <w:r>
              <w:t xml:space="preserve">field</w:t>
            </w:r>
          </w:p>
        </w:tc>
        <w:tc>
          <w:tcPr>
            <w:tcW w:w="7075" w:type="dxa"/>
          </w:tcPr>
          <w:p>
            <w:pPr/>
            <w:r>
              <w:t xml:space="preserve">id, crop, sowing_date, geohash7, stage</w:t>
            </w:r>
          </w:p>
        </w:tc>
      </w:tr>
      <w:tr>
        <w:tc>
          <w:tcPr>
            <w:tcW w:w="2284" w:type="dxa"/>
          </w:tcPr>
          <w:p>
            <w:pPr/>
            <w:r>
              <w:t xml:space="preserve">risk_cell</w:t>
            </w:r>
          </w:p>
        </w:tc>
        <w:tc>
          <w:tcPr>
            <w:tcW w:w="7075" w:type="dxa"/>
          </w:tcPr>
          <w:p>
            <w:pPr/>
            <w:r>
              <w:t xml:space="preserve">geohash6 or 7, crop, date, disease, risk, level, top_factors</w:t>
            </w:r>
          </w:p>
        </w:tc>
      </w:tr>
      <w:tr>
        <w:tc>
          <w:tcPr>
            <w:tcW w:w="2284" w:type="dxa"/>
          </w:tcPr>
          <w:p>
            <w:pPr/>
            <w:r>
              <w:t xml:space="preserve">weather_cell</w:t>
            </w:r>
          </w:p>
        </w:tc>
        <w:tc>
          <w:tcPr>
            <w:tcW w:w="7075" w:type="dxa"/>
          </w:tcPr>
          <w:p>
            <w:pPr/>
            <w:r>
              <w:t xml:space="preserve">geohash, date, tmin, tmax, rh_mean, rain_mm, leaf_wet_hours, gdd</w:t>
            </w:r>
          </w:p>
        </w:tc>
      </w:tr>
      <w:tr>
        <w:tc>
          <w:tcPr>
            <w:tcW w:w="2284" w:type="dxa"/>
          </w:tcPr>
          <w:p>
            <w:pPr/>
            <w:r>
              <w:t xml:space="preserve">advisory</w:t>
            </w:r>
          </w:p>
        </w:tc>
        <w:tc>
          <w:tcPr>
            <w:tcW w:w="7075" w:type="dxa"/>
          </w:tcPr>
          <w:p>
            <w:pPr/>
            <w:r>
              <w:t xml:space="preserve">disease, crop, language, steps, safety_note, source</w:t>
            </w:r>
          </w:p>
        </w:tc>
      </w:tr>
    </w:tbl>
    <w:p>
      <w:pPr/>
      <w:r>
        <w:t xml:space="preserve">Device storage uses IndexedDB. Writes queue locally and sync with retry and idempotency keys.</w:t>
      </w:r>
    </w:p>
    <w:p>
      <w:pPr>
        <w:pStyle w:val="Heading3"/>
      </w:pPr>
      <w:r>
        <w:t xml:space="preserve">C5. API surface (v1)</w:t>
      </w:r>
    </w:p>
    <w:tbl>
      <w:tblPr>
        <w:tblStyle w:val="TableGrid"/>
        <w:tblW w:w="0" w:type="auto"/>
        <w:tblLayout w:type="fixed"/>
        <w:tblLook w:val="04A0" w:firstRow="1" w:lastRow="0" w:firstColumn="0" w:lastColumn="0" w:noHBand="0" w:noVBand="1"/>
      </w:tblPr>
      <w:tblGrid>
        <w:gridCol w:w="4610"/>
        <w:gridCol w:w="4749"/>
      </w:tblGrid>
      <w:tr>
        <w:trPr>
          <w:tblHeader/>
        </w:trPr>
        <w:tc>
          <w:tcPr>
            <w:tcW w:w="4610" w:type="dxa"/>
            <w:shd w:val="clear" w:color="auto" w:fill="F2F2F2"/>
          </w:tcPr>
          <w:p>
            <w:pPr/>
            <w:r>
              <w:t xml:space="preserve">Endpoint</w:t>
            </w:r>
          </w:p>
        </w:tc>
        <w:tc>
          <w:tcPr>
            <w:tcW w:w="4749" w:type="dxa"/>
            <w:shd w:val="clear" w:color="auto" w:fill="F2F2F2"/>
          </w:tcPr>
          <w:p>
            <w:pPr/>
            <w:r>
              <w:t xml:space="preserve">Purpose</w:t>
            </w:r>
          </w:p>
        </w:tc>
      </w:tr>
      <w:tr>
        <w:tc>
          <w:tcPr>
            <w:tcW w:w="4610" w:type="dxa"/>
          </w:tcPr>
          <w:p>
            <w:pPr/>
            <w:r>
              <w:t xml:space="preserve">POST /v1/scans</w:t>
            </w:r>
          </w:p>
        </w:tc>
        <w:tc>
          <w:tcPr>
            <w:tcW w:w="4749" w:type="dxa"/>
          </w:tcPr>
          <w:p>
            <w:pPr/>
            <w:r>
              <w:t xml:space="preserve">Submit anonymised scan report</w:t>
            </w:r>
          </w:p>
        </w:tc>
      </w:tr>
      <w:tr>
        <w:tc>
          <w:tcPr>
            <w:tcW w:w="4610" w:type="dxa"/>
          </w:tcPr>
          <w:p>
            <w:pPr/>
            <w:r>
              <w:t xml:space="preserve">GET /v1/risk?lat&amp;lon&amp;crop&amp;days</w:t>
            </w:r>
          </w:p>
        </w:tc>
        <w:tc>
          <w:tcPr>
            <w:tcW w:w="4749" w:type="dxa"/>
          </w:tcPr>
          <w:p>
            <w:pPr/>
            <w:r>
              <w:t xml:space="preserve">Risk grid for the area</w:t>
            </w:r>
          </w:p>
        </w:tc>
      </w:tr>
      <w:tr>
        <w:tc>
          <w:tcPr>
            <w:tcW w:w="4610" w:type="dxa"/>
          </w:tcPr>
          <w:p>
            <w:pPr/>
            <w:r>
              <w:t xml:space="preserve">GET /v1/risk/{cell}/explain</w:t>
            </w:r>
          </w:p>
        </w:tc>
        <w:tc>
          <w:tcPr>
            <w:tcW w:w="4749" w:type="dxa"/>
          </w:tcPr>
          <w:p>
            <w:pPr/>
            <w:r>
              <w:t xml:space="preserve">Contributing factors</w:t>
            </w:r>
          </w:p>
        </w:tc>
      </w:tr>
      <w:tr>
        <w:tc>
          <w:tcPr>
            <w:tcW w:w="4610" w:type="dxa"/>
          </w:tcPr>
          <w:p>
            <w:pPr/>
            <w:r>
              <w:t xml:space="preserve">GET /v1/advisory?disease&amp;crop&amp;lang</w:t>
            </w:r>
          </w:p>
        </w:tc>
        <w:tc>
          <w:tcPr>
            <w:tcW w:w="4749" w:type="dxa"/>
          </w:tcPr>
          <w:p>
            <w:pPr/>
            <w:r>
              <w:t xml:space="preserve">Advisory steps</w:t>
            </w:r>
          </w:p>
        </w:tc>
      </w:tr>
      <w:tr>
        <w:tc>
          <w:tcPr>
            <w:tcW w:w="4610" w:type="dxa"/>
          </w:tcPr>
          <w:p>
            <w:pPr/>
            <w:r>
              <w:t xml:space="preserve">GET /v1/model/latest</w:t>
            </w:r>
          </w:p>
        </w:tc>
        <w:tc>
          <w:tcPr>
            <w:tcW w:w="4749" w:type="dxa"/>
          </w:tcPr>
          <w:p>
            <w:pPr/>
            <w:r>
              <w:t xml:space="preserve">Model version and hash for OTA update</w:t>
            </w:r>
          </w:p>
        </w:tc>
      </w:tr>
      <w:tr>
        <w:tc>
          <w:tcPr>
            <w:tcW w:w="4610" w:type="dxa"/>
          </w:tcPr>
          <w:p>
            <w:pPr/>
            <w:r>
              <w:t xml:space="preserve">GET /v1/hotspots</w:t>
            </w:r>
          </w:p>
        </w:tc>
        <w:tc>
          <w:tcPr>
            <w:tcW w:w="4749" w:type="dxa"/>
          </w:tcPr>
          <w:p>
            <w:pPr/>
            <w:r>
              <w:t xml:space="preserve">Aggregated hotspots for the dashboard</w:t>
            </w:r>
          </w:p>
        </w:tc>
      </w:tr>
    </w:tbl>
    <w:p>
      <w:pPr/>
      <w:r>
        <w:t xml:space="preserve">Stack suggestion: FastAPI, PostgreSQL with PostGIS (or SQLite plus geohash for the hackathon), Redis for caching, a scheduled worker for weather ingestion and forecast refresh, deployed on a free-tier cloud or a single small VM.</w:t>
      </w:r>
    </w:p>
    <w:p>
      <w:pPr>
        <w:pStyle w:val="Heading3"/>
      </w:pPr>
      <w:r>
        <w:t xml:space="preserve">C6. Frontend stack</w:t>
      </w:r>
    </w:p>
    <w:p>
      <w:pPr>
        <w:pStyle w:val="ListParagraph"/>
        <w:numPr>
          <w:ilvl w:val="0"/>
          <w:numId w:val="19"/>
        </w:numPr>
      </w:pPr>
      <w:r>
        <w:t xml:space="preserve">PWA built with React or Svelte and Vite; Tailwind plus custom CSS tokens for the Liquid Glass system.</w:t>
      </w:r>
    </w:p>
    <w:p>
      <w:pPr>
        <w:pStyle w:val="ListParagraph"/>
        <w:numPr>
          <w:ilvl w:val="0"/>
          <w:numId w:val="19"/>
        </w:numPr>
      </w:pPr>
      <w:r>
        <w:t xml:space="preserve">MapLibre GL for maps with a geohash or H3 layer.</w:t>
      </w:r>
    </w:p>
    <w:p>
      <w:pPr>
        <w:pStyle w:val="ListParagraph"/>
        <w:numPr>
          <w:ilvl w:val="0"/>
          <w:numId w:val="19"/>
        </w:numPr>
      </w:pPr>
      <w:r>
        <w:t xml:space="preserve">Workbox service worker for caching the model, app shell and map tiles for the user's area.</w:t>
      </w:r>
    </w:p>
    <w:p>
      <w:pPr>
        <w:pStyle w:val="ListParagraph"/>
        <w:numPr>
          <w:ilvl w:val="0"/>
          <w:numId w:val="19"/>
        </w:numPr>
      </w:pPr>
      <w:r>
        <w:t xml:space="preserve">i18n with JSON catalogues (English, Hindi, Gujarati) and the Web Speech API for text-to-speech (with pre-recorded audio as a fallback for low-end devices).</w:t>
      </w:r>
    </w:p>
    <w:p>
      <w:pPr>
        <w:pStyle w:val="Heading3"/>
      </w:pPr>
      <w:r>
        <w:t xml:space="preserve">C7. Privacy, security, ethics</w:t>
      </w:r>
    </w:p>
    <w:p>
      <w:pPr>
        <w:pStyle w:val="ListParagraph"/>
        <w:numPr>
          <w:ilvl w:val="0"/>
          <w:numId w:val="20"/>
        </w:numPr>
      </w:pPr>
      <w:r>
        <w:t xml:space="preserve">Photos stay on the device by default; upload is explicit opt-in for model improvement.</w:t>
      </w:r>
    </w:p>
    <w:p>
      <w:pPr>
        <w:pStyle w:val="ListParagraph"/>
        <w:numPr>
          <w:ilvl w:val="0"/>
          <w:numId w:val="20"/>
        </w:numPr>
      </w:pPr>
      <w:r>
        <w:t xml:space="preserve">Location is coarsened to a geohash (about 150 m to 1 km depending on precision) before leaving the device. Devices are identified by a rotating random hash, with no phone number or account required.</w:t>
      </w:r>
    </w:p>
    <w:p>
      <w:pPr>
        <w:pStyle w:val="ListParagraph"/>
        <w:numPr>
          <w:ilvl w:val="0"/>
          <w:numId w:val="20"/>
        </w:numPr>
      </w:pPr>
      <w:r>
        <w:t xml:space="preserve">Rate limiting and sanity checks against fake reports (outlier detection, device-level caps).</w:t>
      </w:r>
    </w:p>
    <w:p>
      <w:pPr>
        <w:pStyle w:val="ListParagraph"/>
        <w:numPr>
          <w:ilvl w:val="0"/>
          <w:numId w:val="20"/>
        </w:numPr>
      </w:pPr>
      <w:r>
        <w:t xml:space="preserve">Advisory content sourced from agricultural-university guidance, with citations in the app; clear disclaimer that it supports, not replaces, expert advice.</w:t>
      </w:r>
    </w:p>
    <w:p>
      <w:pPr>
        <w:pStyle w:val="ListParagraph"/>
        <w:numPr>
          <w:ilvl w:val="0"/>
          <w:numId w:val="20"/>
        </w:numPr>
      </w:pPr>
      <w:r>
        <w:t xml:space="preserve">Model card documenting data, metrics, limitations and intended use.</w:t>
      </w:r>
    </w:p>
    <w:p>
      <w:pPr>
        <w:pStyle w:val="Heading3"/>
      </w:pPr>
      <w:r>
        <w:t xml:space="preserve">C8. Evaluation and benchmark plan</w:t>
      </w:r>
    </w:p>
    <w:p>
      <w:pPr>
        <w:pStyle w:val="ListParagraph"/>
        <w:numPr>
          <w:ilvl w:val="0"/>
          <w:numId w:val="21"/>
        </w:numPr>
      </w:pPr>
      <w:r>
        <w:t xml:space="preserve">Report lab-split and field-split results separately; call out the gap.</w:t>
      </w:r>
    </w:p>
    <w:p>
      <w:pPr>
        <w:pStyle w:val="ListParagraph"/>
        <w:numPr>
          <w:ilvl w:val="0"/>
          <w:numId w:val="21"/>
        </w:numPr>
      </w:pPr>
      <w:r>
        <w:t xml:space="preserve">Reliability diagram and ECE before and after calibration.</w:t>
      </w:r>
    </w:p>
    <w:p>
      <w:pPr>
        <w:pStyle w:val="ListParagraph"/>
        <w:numPr>
          <w:ilvl w:val="0"/>
          <w:numId w:val="21"/>
        </w:numPr>
      </w:pPr>
      <w:r>
        <w:t xml:space="preserve">Confusion matrix and per-class F1, highlighting similar-looking diseases.</w:t>
      </w:r>
    </w:p>
    <w:p>
      <w:pPr>
        <w:pStyle w:val="ListParagraph"/>
        <w:numPr>
          <w:ilvl w:val="0"/>
          <w:numId w:val="21"/>
        </w:numPr>
      </w:pPr>
      <w:r>
        <w:t xml:space="preserve">OOD test with non-leaf and unsupported-crop images.</w:t>
      </w:r>
    </w:p>
    <w:p>
      <w:pPr>
        <w:pStyle w:val="ListParagraph"/>
        <w:numPr>
          <w:ilvl w:val="0"/>
          <w:numId w:val="21"/>
        </w:numPr>
      </w:pPr>
      <w:r>
        <w:t xml:space="preserve">Latency, memory and size table across two or three devices, online and airplane mode.</w:t>
      </w:r>
    </w:p>
    <w:p>
      <w:pPr>
        <w:pStyle w:val="ListParagraph"/>
        <w:numPr>
          <w:ilvl w:val="0"/>
          <w:numId w:val="21"/>
        </w:numPr>
      </w:pPr>
      <w:r>
        <w:t xml:space="preserve">Forecast: AUROC, precision at top-k, lead-time analysis, and an ablation (rules only, ML only, combined, with and without community signal).</w:t>
      </w:r>
    </w:p>
    <w:p>
      <w:pPr>
        <w:pStyle w:val="Heading3"/>
      </w:pPr>
      <w:r>
        <w:t xml:space="preserve">C9. Build plan (48-hour version)</w:t>
      </w:r>
    </w:p>
    <w:tbl>
      <w:tblPr>
        <w:tblStyle w:val="TableGrid"/>
        <w:tblW w:w="0" w:type="auto"/>
        <w:tblLayout w:type="fixed"/>
        <w:tblLook w:val="04A0" w:firstRow="1" w:lastRow="0" w:firstColumn="0" w:lastColumn="0" w:noHBand="0" w:noVBand="1"/>
      </w:tblPr>
      <w:tblGrid>
        <w:gridCol w:w="2445"/>
        <w:gridCol w:w="6914"/>
      </w:tblGrid>
      <w:tr>
        <w:trPr>
          <w:tblHeader/>
        </w:trPr>
        <w:tc>
          <w:tcPr>
            <w:tcW w:w="2445" w:type="dxa"/>
            <w:shd w:val="clear" w:color="auto" w:fill="F2F2F2"/>
          </w:tcPr>
          <w:p>
            <w:pPr/>
            <w:r>
              <w:t xml:space="preserve">Block</w:t>
            </w:r>
          </w:p>
        </w:tc>
        <w:tc>
          <w:tcPr>
            <w:tcW w:w="6914" w:type="dxa"/>
            <w:shd w:val="clear" w:color="auto" w:fill="F2F2F2"/>
          </w:tcPr>
          <w:p>
            <w:pPr/>
            <w:r>
              <w:t xml:space="preserve">Deliverable</w:t>
            </w:r>
          </w:p>
        </w:tc>
      </w:tr>
      <w:tr>
        <w:tc>
          <w:tcPr>
            <w:tcW w:w="2445" w:type="dxa"/>
          </w:tcPr>
          <w:p>
            <w:pPr/>
            <w:r>
              <w:t xml:space="preserve">Hours 0 to 4</w:t>
            </w:r>
          </w:p>
        </w:tc>
        <w:tc>
          <w:tcPr>
            <w:tcW w:w="6914" w:type="dxa"/>
          </w:tcPr>
          <w:p>
            <w:pPr/>
            <w:r>
              <w:t xml:space="preserve">Lock scope (3 to 4 crops), repo, design tokens, data download, weather API wired</w:t>
            </w:r>
          </w:p>
        </w:tc>
      </w:tr>
      <w:tr>
        <w:tc>
          <w:tcPr>
            <w:tcW w:w="2445" w:type="dxa"/>
          </w:tcPr>
          <w:p>
            <w:pPr/>
            <w:r>
              <w:t xml:space="preserve">Hours 4 to 16</w:t>
            </w:r>
          </w:p>
        </w:tc>
        <w:tc>
          <w:tcPr>
            <w:tcW w:w="6914" w:type="dxa"/>
          </w:tcPr>
          <w:p>
            <w:pPr/>
            <w:r>
              <w:t xml:space="preserve">Train and calibrate model, export int8 ONNX, build the PWA scan flow with offline inference</w:t>
            </w:r>
          </w:p>
        </w:tc>
      </w:tr>
      <w:tr>
        <w:tc>
          <w:tcPr>
            <w:tcW w:w="2445" w:type="dxa"/>
          </w:tcPr>
          <w:p>
            <w:pPr/>
            <w:r>
              <w:t xml:space="preserve">Hours 16 to 28</w:t>
            </w:r>
          </w:p>
        </w:tc>
        <w:tc>
          <w:tcPr>
            <w:tcW w:w="6914" w:type="dxa"/>
          </w:tcPr>
          <w:p>
            <w:pPr/>
            <w:r>
              <w:t xml:space="preserve">Forecast service (rules plus LightGBM), geohash store, risk map and "why" panel</w:t>
            </w:r>
          </w:p>
        </w:tc>
      </w:tr>
      <w:tr>
        <w:tc>
          <w:tcPr>
            <w:tcW w:w="2445" w:type="dxa"/>
          </w:tcPr>
          <w:p>
            <w:pPr/>
            <w:r>
              <w:t xml:space="preserve">Hours 28 to 38</w:t>
            </w:r>
          </w:p>
        </w:tc>
        <w:tc>
          <w:tcPr>
            <w:tcW w:w="6914" w:type="dxa"/>
          </w:tcPr>
          <w:p>
            <w:pPr/>
            <w:r>
              <w:t xml:space="preserve">Liquid Glass polish, multilingual and voice, result sheet states, alerts</w:t>
            </w:r>
          </w:p>
        </w:tc>
      </w:tr>
      <w:tr>
        <w:tc>
          <w:tcPr>
            <w:tcW w:w="2445" w:type="dxa"/>
          </w:tcPr>
          <w:p>
            <w:pPr/>
            <w:r>
              <w:t xml:space="preserve">Hours 38 to 44</w:t>
            </w:r>
          </w:p>
        </w:tc>
        <w:tc>
          <w:tcPr>
            <w:tcW w:w="6914" w:type="dxa"/>
          </w:tcPr>
          <w:p>
            <w:pPr/>
            <w:r>
              <w:t xml:space="preserve">Evaluation tables, benchmark on a real phone, model card, README</w:t>
            </w:r>
          </w:p>
        </w:tc>
      </w:tr>
      <w:tr>
        <w:tc>
          <w:tcPr>
            <w:tcW w:w="2445" w:type="dxa"/>
          </w:tcPr>
          <w:p>
            <w:pPr/>
            <w:r>
              <w:t xml:space="preserve">Hours 44 to 48</w:t>
            </w:r>
          </w:p>
        </w:tc>
        <w:tc>
          <w:tcPr>
            <w:tcW w:w="6914" w:type="dxa"/>
          </w:tcPr>
          <w:p>
            <w:pPr/>
            <w:r>
              <w:t xml:space="preserve">Demo rehearsal, fallback video, pitch deck</w:t>
            </w:r>
          </w:p>
        </w:tc>
      </w:tr>
    </w:tbl>
    <w:p>
      <w:pPr/>
      <w:r>
        <w:t xml:space="preserve">For a 24-hour event: cut to two crops, rules-only forecast with a simulated outbreak, and English plus Gujarati.</w:t>
      </w:r>
    </w:p>
    <w:p>
      <w:pPr>
        <w:pStyle w:val="Heading3"/>
      </w:pPr>
      <w:r>
        <w:t xml:space="preserve">C10. The 3-minute winning demo</w:t>
      </w:r>
    </w:p>
    <w:p>
      <w:pPr>
        <w:pStyle w:val="ListParagraph"/>
        <w:numPr>
          <w:ilvl w:val="0"/>
          <w:numId w:val="22"/>
        </w:numPr>
      </w:pPr>
      <w:r>
        <w:rPr>
          <w:b/>
        </w:rPr>
        <w:t xml:space="preserve">0:00 to 0:20, the hook</w:t>
      </w:r>
      <w:r>
        <w:t xml:space="preserve">: a farmer's story and one statistic you can cite from a source.</w:t>
      </w:r>
    </w:p>
    <w:p>
      <w:pPr>
        <w:pStyle w:val="ListParagraph"/>
        <w:numPr>
          <w:ilvl w:val="0"/>
          <w:numId w:val="22"/>
        </w:numPr>
      </w:pPr>
      <w:r>
        <w:rPr>
          <w:b/>
        </w:rPr>
        <w:t xml:space="preserve">0:20 to 1:05, airplane mode scan</w:t>
      </w:r>
      <w:r>
        <w:t xml:space="preserve">: switch the phone to airplane mode on stage, scan a real diseased leaf, show diagnosis, heatmap, and voice advisory in Gujarati.</w:t>
      </w:r>
    </w:p>
    <w:p>
      <w:pPr>
        <w:pStyle w:val="ListParagraph"/>
        <w:numPr>
          <w:ilvl w:val="0"/>
          <w:numId w:val="22"/>
        </w:numPr>
      </w:pPr>
      <w:r>
        <w:rPr>
          <w:b/>
        </w:rPr>
        <w:t xml:space="preserve">1:05 to 1:30, honesty</w:t>
      </w:r>
      <w:r>
        <w:t xml:space="preserve">: scan a non-leaf or a blurry photo and show the app saying "not sure". Judges remember this.</w:t>
      </w:r>
    </w:p>
    <w:p>
      <w:pPr>
        <w:pStyle w:val="ListParagraph"/>
        <w:numPr>
          <w:ilvl w:val="0"/>
          <w:numId w:val="22"/>
        </w:numPr>
      </w:pPr>
      <w:r>
        <w:rPr>
          <w:b/>
        </w:rPr>
        <w:t xml:space="preserve">1:30 to 2:15, the forecast</w:t>
      </w:r>
      <w:r>
        <w:t xml:space="preserve">: open the map, drag the scrubber through 7 days, tap a red cell, show the "why" panel, then show a community scan turning a neighbouring cell amber.</w:t>
      </w:r>
    </w:p>
    <w:p>
      <w:pPr>
        <w:pStyle w:val="ListParagraph"/>
        <w:numPr>
          <w:ilvl w:val="0"/>
          <w:numId w:val="22"/>
        </w:numPr>
      </w:pPr>
      <w:r>
        <w:rPr>
          <w:b/>
        </w:rPr>
        <w:t xml:space="preserve">2:15 to 2:40, the numbers</w:t>
      </w:r>
      <w:r>
        <w:t xml:space="preserve">: one slide with latency, size, field-set F1, ECE and forecast AUROC.</w:t>
      </w:r>
    </w:p>
    <w:p>
      <w:pPr>
        <w:pStyle w:val="ListParagraph"/>
        <w:numPr>
          <w:ilvl w:val="0"/>
          <w:numId w:val="22"/>
        </w:numPr>
      </w:pPr>
      <w:r>
        <w:rPr>
          <w:b/>
        </w:rPr>
        <w:t xml:space="preserve">2:40 to 3:00, the close</w:t>
      </w:r>
      <w:r>
        <w:t xml:space="preserve">: impact, how it scales, and the ask.</w:t>
      </w:r>
    </w:p>
    <w:p>
      <w:pPr/>
      <w:r>
        <w:t xml:space="preserve">Keep a recorded backup of the full demo in case the venue network or camera misbehaves.</w:t>
      </w:r>
    </w:p>
    <w:p>
      <w:pPr>
        <w:pStyle w:val="Heading3"/>
      </w:pPr>
      <w:r>
        <w:t xml:space="preserve">C11. Roadmap beyond the hackathon</w:t>
      </w:r>
    </w:p>
    <w:p>
      <w:pPr/>
      <w:r>
        <w:t xml:space="preserve">More crops and pests, federated learning across devices, integration with extension-officer workflows and government advisory feeds, satellite-based stress detection, and a low-cost kiosk mode for village cooperatives.</w:t>
      </w:r>
    </w:p>
    <w:p>
      <w:pPr>
        <w:pStyle w:val="Heading3"/>
      </w:pPr>
      <w:r>
        <w:t xml:space="preserve">C12. Final checklist before submission</w:t>
      </w:r>
    </w:p>
    <w:p>
      <w:pPr>
        <w:pStyle w:val="ListParagraph"/>
        <w:numPr>
          <w:ilvl w:val="0"/>
          <w:numId w:val="23"/>
        </w:numPr>
      </w:pPr>
      <w:r>
        <w:t xml:space="preserve">Public repo with a clear README, setup script and architecture diagram.</w:t>
      </w:r>
    </w:p>
    <w:p>
      <w:pPr>
        <w:pStyle w:val="ListParagraph"/>
        <w:numPr>
          <w:ilvl w:val="0"/>
          <w:numId w:val="23"/>
        </w:numPr>
      </w:pPr>
      <w:r>
        <w:t xml:space="preserve">Live demo URL plus an installable PWA.</w:t>
      </w:r>
    </w:p>
    <w:p>
      <w:pPr>
        <w:pStyle w:val="ListParagraph"/>
        <w:numPr>
          <w:ilvl w:val="0"/>
          <w:numId w:val="23"/>
        </w:numPr>
      </w:pPr>
      <w:r>
        <w:t xml:space="preserve">Model card, evaluation report and the benchmark table.</w:t>
      </w:r>
    </w:p>
    <w:p>
      <w:pPr>
        <w:pStyle w:val="ListParagraph"/>
        <w:numPr>
          <w:ilvl w:val="0"/>
          <w:numId w:val="23"/>
        </w:numPr>
      </w:pPr>
      <w:r>
        <w:t xml:space="preserve">Design system page showing tokens and glass components.</w:t>
      </w:r>
    </w:p>
    <w:p>
      <w:pPr>
        <w:pStyle w:val="ListParagraph"/>
        <w:numPr>
          <w:ilvl w:val="0"/>
          <w:numId w:val="23"/>
        </w:numPr>
      </w:pPr>
      <w:r>
        <w:t xml:space="preserve">3-minute video and a one-page pitch.</w:t>
      </w:r>
    </w:p>
    <w:p>
      <w:pPr>
        <w:pStyle w:val="ListParagraph"/>
        <w:numPr>
          <w:ilvl w:val="0"/>
          <w:numId w:val="23"/>
        </w:numPr>
      </w:pPr>
      <w:r>
        <w:t xml:space="preserve">Every number in the deck traceable to a notebook or log.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0"/>
  </w:num>
  <w:num w:numId="20">
    <w:abstractNumId w:val="0"/>
  </w:num>
  <w:num w:numId="21">
    <w:abstractNumId w:val="1"/>
    <w:lvlOverride w:ilvl="0">
      <w:startOverride w:val="1"/>
    </w:lvlOverride>
  </w:num>
  <w:num w:numId="22">
    <w:abstractNumId w:val="1"/>
    <w:lvlOverride w:ilvl="0">
      <w:startOverride w:val="1"/>
    </w:lvlOverride>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LeafSense Edge AI Leaf Disease &amp; Localized Pest Forecaster</dc:title>
  <dc:description>Claude Docs node/0ce7d28e-9c43@1 docx-w7</dc:description>
  <cp:revision>1</cp:revision>
</cp:coreProperties>
</file>