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6217920" cy="463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217920" cy="46340"/>
                    </a:xfrm>
                    <a:prstGeom prst="rect"/>
                  </pic:spPr>
                </pic:pic>
              </a:graphicData>
            </a:graphic>
          </wp:inline>
        </w:drawing>
      </w:r>
    </w:p>
    <w:p>
      <w:pPr>
        <w:spacing w:before="240" w:after="80"/>
        <w:jc w:val="center"/>
      </w:pPr>
      <w:r>
        <w:rPr>
          <w:rFonts w:ascii="Times New Roman" w:hAnsi="Times New Roman"/>
          <w:b/>
          <w:color w:val="C00000"/>
          <w:sz w:val="56"/>
        </w:rPr>
        <w:t>Raktsetu</w:t>
      </w:r>
    </w:p>
    <w:p>
      <w:pPr>
        <w:spacing w:after="320"/>
        <w:jc w:val="center"/>
      </w:pPr>
      <w:r>
        <w:rPr>
          <w:rFonts w:ascii="Times New Roman" w:hAnsi="Times New Roman"/>
          <w:i/>
          <w:color w:val="282828"/>
          <w:sz w:val="25"/>
        </w:rPr>
        <w:t>National Blood Inventory Intelligence, Reliability Scoring &amp; Emergency Triage Lakehouse</w:t>
      </w:r>
    </w:p>
    <w:p>
      <w:pPr>
        <w:spacing w:after="40"/>
        <w:jc w:val="center"/>
      </w:pPr>
      <w:r>
        <w:rPr>
          <w:rFonts w:ascii="Times New Roman" w:hAnsi="Times New Roman"/>
          <w:sz w:val="30"/>
        </w:rPr>
        <w:t>By</w:t>
      </w:r>
    </w:p>
    <w:p>
      <w:pPr>
        <w:spacing w:after="280"/>
        <w:jc w:val="center"/>
      </w:pPr>
      <w:r>
        <w:rPr>
          <w:rFonts w:ascii="Times New Roman" w:hAnsi="Times New Roman"/>
          <w:b/>
          <w:color w:val="C00000"/>
          <w:sz w:val="32"/>
        </w:rPr>
        <w:t>Radhey Gajera (25MCA057)</w:t>
        <w:br/>
        <w:t>Shruti Gajipara (25MCA058)</w:t>
      </w:r>
    </w:p>
    <w:p>
      <w:pPr>
        <w:spacing w:after="40"/>
        <w:jc w:val="center"/>
      </w:pPr>
      <w:r>
        <w:rPr>
          <w:rFonts w:ascii="Times New Roman" w:hAnsi="Times New Roman"/>
          <w:sz w:val="30"/>
        </w:rPr>
        <w:t>Submitted to</w:t>
      </w:r>
    </w:p>
    <w:p>
      <w:pPr>
        <w:spacing w:after="240"/>
        <w:jc w:val="center"/>
      </w:pPr>
      <w:r>
        <w:rPr>
          <w:rFonts w:ascii="Times New Roman" w:hAnsi="Times New Roman"/>
          <w:b/>
          <w:color w:val="C00000"/>
          <w:sz w:val="32"/>
        </w:rPr>
        <w:t>Ms. Konica Soni (Assistant Professor)</w:t>
      </w:r>
    </w:p>
    <w:p>
      <w:pPr>
        <w:spacing w:after="160"/>
        <w:jc w:val="center"/>
      </w:pPr>
      <w:r>
        <w:drawing>
          <wp:inline xmlns:a="http://schemas.openxmlformats.org/drawingml/2006/main" xmlns:pic="http://schemas.openxmlformats.org/drawingml/2006/picture">
            <wp:extent cx="1371600" cy="1499743"/>
            <wp:docPr id="2" name="Picture 2"/>
            <wp:cNvGraphicFramePr>
              <a:graphicFrameLocks noChangeAspect="1"/>
            </wp:cNvGraphicFramePr>
            <a:graphic>
              <a:graphicData uri="http://schemas.openxmlformats.org/drawingml/2006/picture">
                <pic:pic>
                  <pic:nvPicPr>
                    <pic:cNvPr id="0" name="image3.jpeg"/>
                    <pic:cNvPicPr/>
                  </pic:nvPicPr>
                  <pic:blipFill>
                    <a:blip r:embed="rId10"/>
                    <a:stretch>
                      <a:fillRect/>
                    </a:stretch>
                  </pic:blipFill>
                  <pic:spPr>
                    <a:xfrm>
                      <a:off x="0" y="0"/>
                      <a:ext cx="1371600" cy="1499743"/>
                    </a:xfrm>
                    <a:prstGeom prst="rect"/>
                  </pic:spPr>
                </pic:pic>
              </a:graphicData>
            </a:graphic>
          </wp:inline>
        </w:drawing>
      </w:r>
    </w:p>
    <w:p>
      <w:pPr>
        <w:spacing w:after="40"/>
        <w:jc w:val="center"/>
      </w:pPr>
      <w:r>
        <w:rPr>
          <w:rFonts w:ascii="Times New Roman" w:hAnsi="Times New Roman"/>
          <w:b/>
          <w:sz w:val="26"/>
        </w:rPr>
        <w:t>Smt. Chandaben Mohanbhai Patel Institute of Computer Applications (CMPICA)</w:t>
      </w:r>
    </w:p>
    <w:p>
      <w:pPr>
        <w:spacing w:after="40"/>
        <w:jc w:val="center"/>
      </w:pPr>
      <w:r>
        <w:rPr>
          <w:rFonts w:ascii="Times New Roman" w:hAnsi="Times New Roman"/>
          <w:sz w:val="24"/>
        </w:rPr>
        <w:t>Faculty of Computer Science and Applications (FCA)</w:t>
      </w:r>
    </w:p>
    <w:p>
      <w:pPr>
        <w:spacing w:after="40"/>
        <w:jc w:val="center"/>
      </w:pPr>
      <w:r>
        <w:rPr>
          <w:rFonts w:ascii="Times New Roman" w:hAnsi="Times New Roman"/>
          <w:b/>
          <w:sz w:val="26"/>
        </w:rPr>
        <w:t>Charotar University of Science and Technology (CHARUSAT)</w:t>
      </w:r>
    </w:p>
    <w:p>
      <w:pPr>
        <w:spacing w:after="160"/>
        <w:jc w:val="center"/>
      </w:pPr>
      <w:r>
        <w:rPr>
          <w:rFonts w:ascii="Times New Roman" w:hAnsi="Times New Roman"/>
          <w:sz w:val="22"/>
        </w:rPr>
        <w:t>Changa, Anand, Gujarat – 388421</w:t>
      </w:r>
    </w:p>
    <w:p>
      <w:pPr>
        <w:spacing w:after="160"/>
        <w:jc w:val="center"/>
      </w:pPr>
      <w:r>
        <w:rPr>
          <w:rFonts w:ascii="Times New Roman" w:hAnsi="Times New Roman"/>
          <w:b/>
          <w:color w:val="C00000"/>
          <w:sz w:val="28"/>
        </w:rPr>
        <w:t>November 2026</w:t>
      </w:r>
    </w:p>
    <w:p>
      <w:pPr>
        <w:spacing w:after="80"/>
        <w:jc w:val="center"/>
      </w:pPr>
      <w:r>
        <w:drawing>
          <wp:inline xmlns:a="http://schemas.openxmlformats.org/drawingml/2006/main" xmlns:pic="http://schemas.openxmlformats.org/drawingml/2006/picture">
            <wp:extent cx="2926080" cy="575516"/>
            <wp:docPr id="3" name="Picture 3"/>
            <wp:cNvGraphicFramePr>
              <a:graphicFrameLocks noChangeAspect="1"/>
            </wp:cNvGraphicFramePr>
            <a:graphic>
              <a:graphicData uri="http://schemas.openxmlformats.org/drawingml/2006/picture">
                <pic:pic>
                  <pic:nvPicPr>
                    <pic:cNvPr id="0" name="image4.jpeg"/>
                    <pic:cNvPicPr/>
                  </pic:nvPicPr>
                  <pic:blipFill>
                    <a:blip r:embed="rId11"/>
                    <a:stretch>
                      <a:fillRect/>
                    </a:stretch>
                  </pic:blipFill>
                  <pic:spPr>
                    <a:xfrm>
                      <a:off x="0" y="0"/>
                      <a:ext cx="2926080" cy="575516"/>
                    </a:xfrm>
                    <a:prstGeom prst="rect"/>
                  </pic:spPr>
                </pic:pic>
              </a:graphicData>
            </a:graphic>
          </wp:inline>
        </w:drawing>
      </w:r>
    </w:p>
    <w:p>
      <w:pPr>
        <w:spacing w:after="160"/>
        <w:jc w:val="center"/>
      </w:pPr>
      <w:r>
        <w:rPr>
          <w:rFonts w:ascii="Times New Roman" w:hAnsi="Times New Roman"/>
          <w:b/>
          <w:sz w:val="20"/>
        </w:rPr>
        <w:t>Accredited with Grade 'A+' by NAAC</w:t>
      </w:r>
    </w:p>
    <w:p>
      <w:pPr>
        <w:spacing w:after="0"/>
        <w:jc w:val="center"/>
      </w:pPr>
      <w:r>
        <w:drawing>
          <wp:inline xmlns:a="http://schemas.openxmlformats.org/drawingml/2006/main" xmlns:pic="http://schemas.openxmlformats.org/drawingml/2006/picture">
            <wp:extent cx="6217920" cy="46340"/>
            <wp:docPr id="4" name="Picture 4"/>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217920" cy="46340"/>
                    </a:xfrm>
                    <a:prstGeom prst="rect"/>
                  </pic:spPr>
                </pic:pic>
              </a:graphicData>
            </a:graphic>
          </wp:inline>
        </w:drawing>
      </w:r>
    </w:p>
    <w:p>
      <w:r>
        <w:br w:type="page"/>
      </w:r>
    </w:p>
    <w:p>
      <w:pPr>
        <w:keepNext/>
        <w:spacing w:before="320" w:after="160"/>
      </w:pPr>
      <w:r>
        <w:rPr>
          <w:rFonts w:ascii="Times New Roman" w:hAnsi="Times New Roman"/>
          <w:b/>
          <w:color w:val="C00000"/>
          <w:sz w:val="32"/>
        </w:rPr>
        <w:t>Acknowledgement</w:t>
      </w:r>
    </w:p>
    <w:p>
      <w:pPr>
        <w:spacing w:after="160" w:line="276" w:lineRule="auto"/>
      </w:pPr>
      <w:r>
        <w:rPr>
          <w:rFonts w:ascii="Times New Roman" w:hAnsi="Times New Roman"/>
          <w:color w:val="282828"/>
          <w:sz w:val="22"/>
        </w:rPr>
        <w:t>Knowledge in itself is an enduring and collaborative process. At this milestone of completing our academic project, we find profound pleasure in expressing our heartfelt gratitude towards everyone whose guidance, support, and wisdom have illuminated our journey.</w:t>
      </w:r>
    </w:p>
    <w:p>
      <w:pPr>
        <w:spacing w:after="160" w:line="276" w:lineRule="auto"/>
      </w:pPr>
      <w:r>
        <w:rPr>
          <w:rFonts w:ascii="Times New Roman" w:hAnsi="Times New Roman"/>
          <w:color w:val="282828"/>
          <w:sz w:val="22"/>
        </w:rPr>
        <w:t>The successful realization of an inter-disciplinary data engineering and healthcare informatics system like 'Raktsetu' relies heavily upon the synchronization of diverse skill sets, continuous research, modern analytical tooling, and rigorous testing. We consider it our highest academic privilege to acknowledge the invaluable encouragement and mentorship extended to us.</w:t>
      </w:r>
    </w:p>
    <w:p>
      <w:pPr>
        <w:spacing w:after="160" w:line="276" w:lineRule="auto"/>
      </w:pPr>
      <w:r>
        <w:rPr>
          <w:rFonts w:ascii="Times New Roman" w:hAnsi="Times New Roman"/>
          <w:color w:val="282828"/>
          <w:sz w:val="22"/>
        </w:rPr>
        <w:t>First and foremost, we express our profound gratitude to our internal project guide, Ms. Konica Soni (Assistant Professor, CMPICA), whose patient counsel, technical critique, and unwavering encouragement inspired us to uphold the highest standards of data integrity and architectural discipline throughout the execution of this project.</w:t>
      </w:r>
    </w:p>
    <w:p>
      <w:pPr>
        <w:spacing w:after="160" w:line="276" w:lineRule="auto"/>
      </w:pPr>
      <w:r>
        <w:rPr>
          <w:rFonts w:ascii="Times New Roman" w:hAnsi="Times New Roman"/>
          <w:color w:val="282828"/>
          <w:sz w:val="22"/>
        </w:rPr>
        <w:t>We also convey our sincere thanks and deep respect to Dr. Dharmendra Patel (I/C Principal, CMPICA) and Dr. Sanskruti Patel (I/C Dean, FCA) for fostering an innovative research culture and providing the cutting-edge computational infrastructure at Charotar University of Science and Technology (CHARUSAT) that made this research possible.</w:t>
      </w:r>
    </w:p>
    <w:p>
      <w:pPr>
        <w:spacing w:after="320" w:line="276" w:lineRule="auto"/>
      </w:pPr>
      <w:r>
        <w:rPr>
          <w:rFonts w:ascii="Times New Roman" w:hAnsi="Times New Roman"/>
          <w:color w:val="282828"/>
          <w:sz w:val="22"/>
        </w:rPr>
        <w:t>We are also thankful to the laboratory technical staff, faculty colleagues, and our fellow Master of Computer Applications (MCA) peers for their constructive discussions, feedback, and support during the validation phases of the system.</w:t>
      </w:r>
    </w:p>
    <w:p>
      <w:pPr>
        <w:spacing w:before="320" w:after="80"/>
      </w:pPr>
      <w:r>
        <w:rPr>
          <w:rFonts w:ascii="Times New Roman" w:hAnsi="Times New Roman"/>
          <w:i/>
          <w:sz w:val="22"/>
        </w:rPr>
        <w:t>With Sincere Regards,</w:t>
        <w:br/>
      </w:r>
      <w:r>
        <w:rPr>
          <w:rFonts w:ascii="Times New Roman" w:hAnsi="Times New Roman"/>
          <w:b/>
          <w:color w:val="C00000"/>
          <w:sz w:val="24"/>
        </w:rPr>
        <w:t>Radhey Gajera (25MCA057)</w:t>
        <w:br/>
        <w:t>Shruti Gajipara (25MCA058)</w:t>
      </w:r>
    </w:p>
    <w:p>
      <w:r>
        <w:br w:type="page"/>
      </w:r>
    </w:p>
    <w:p>
      <w:pPr>
        <w:keepNext/>
        <w:spacing w:before="320" w:after="160"/>
      </w:pPr>
      <w:r>
        <w:rPr>
          <w:rFonts w:ascii="Times New Roman" w:hAnsi="Times New Roman"/>
          <w:b/>
          <w:color w:val="C00000"/>
          <w:sz w:val="32"/>
        </w:rPr>
        <w:t>Table of Contents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1008"/>
            <w:shd w:fill="D8D8D8"/>
            <w:tcMar>
              <w:top w:w="120" w:type="dxa"/>
              <w:bottom w:w="120" w:type="dxa"/>
              <w:left w:w="140" w:type="dxa"/>
              <w:right w:w="140" w:type="dxa"/>
            </w:tcMar>
          </w:tcPr>
          <w:p>
            <w:pPr>
              <w:jc w:val="center"/>
            </w:pPr>
            <w:r>
              <w:rPr>
                <w:rFonts w:ascii="Times New Roman" w:hAnsi="Times New Roman"/>
                <w:b/>
                <w:color w:val="1B365D"/>
                <w:sz w:val="20"/>
              </w:rPr>
              <w:t>Sr. No</w:t>
            </w:r>
          </w:p>
        </w:tc>
        <w:tc>
          <w:tcPr>
            <w:tcW w:type="dxa" w:w="576"/>
            <w:shd w:fill="D8D8D8"/>
            <w:tcMar>
              <w:top w:w="120" w:type="dxa"/>
              <w:bottom w:w="120" w:type="dxa"/>
              <w:left w:w="140" w:type="dxa"/>
              <w:right w:w="140" w:type="dxa"/>
            </w:tcMar>
          </w:tcPr>
          <w:p>
            <w:pPr>
              <w:jc w:val="center"/>
            </w:pPr>
            <w:r>
              <w:rPr>
                <w:rFonts w:ascii="Times New Roman" w:hAnsi="Times New Roman"/>
                <w:b/>
                <w:color w:val="1B365D"/>
                <w:sz w:val="20"/>
              </w:rPr>
            </w:r>
          </w:p>
        </w:tc>
        <w:tc>
          <w:tcPr>
            <w:tcW w:type="dxa" w:w="6624"/>
            <w:shd w:fill="D8D8D8"/>
            <w:tcMar>
              <w:top w:w="120" w:type="dxa"/>
              <w:bottom w:w="120" w:type="dxa"/>
              <w:left w:w="140" w:type="dxa"/>
              <w:right w:w="140" w:type="dxa"/>
            </w:tcMar>
          </w:tcPr>
          <w:p>
            <w:pPr>
              <w:jc w:val="center"/>
            </w:pPr>
            <w:r>
              <w:rPr>
                <w:rFonts w:ascii="Times New Roman" w:hAnsi="Times New Roman"/>
                <w:b/>
                <w:color w:val="1B365D"/>
                <w:sz w:val="20"/>
              </w:rPr>
              <w:t>Subject</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Page Number</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t>1</w:t>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Project Profile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6</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1.</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Project Description &amp; Background</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6</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2.</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Project Scope &amp; Domain</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6</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3.</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Project Team Composition &amp; Roles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6</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4.</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Hardware &amp; Software Requirements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7</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t>2</w:t>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Introduction to Tools &amp; Technology</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9</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1.</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Front-End Technologies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9</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2.</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Back-End &amp; Data Engineering Technologies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9</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3.</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Medical Transfusion Standards &amp; Clinical Rules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10</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t>3</w:t>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System Study</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12</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1.</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Existing System Limitations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12</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2.</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Proposed System Architecture &amp; Core Innovations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12</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3.</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Scope of the Proposed System</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13</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4.</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Aim and Objectives of the Proposed System</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13</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5.</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Feasibility Study</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14</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Operational Feasibility</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14</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Technical Feasibility</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14</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Economical Feasibility</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14</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6.</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Development &amp; Operating Cost Estimation</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14</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t>4</w:t>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System Analysis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16</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1.</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Requirements Specification (along with System Modules)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16</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2.</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Use Case Diagram &amp; Actor Analysis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16</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3.</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Class Diagram &amp; Domain Model</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17</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4.</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Activity Diagram (Emergency Triage Workflow)</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18</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5.</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Sequence Diagram (System Interaction Lifecycle)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19</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t>5</w:t>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System Design</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21</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1.</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System Architecture Diagram</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21</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2.</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Data Dictionary (8 Relational Lakehouse Schemas)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21</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3.</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Screen Layouts (13 Production UI Walkthroughs)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27</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t>6</w:t>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System Testing</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39</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t>1.</w:t>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Testing Strategies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39</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t>2.</w:t>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Audited Test Cases Matrix (25 Detailed Verification Cases)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39</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t>7</w:t>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Future Enhancements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43</w:t>
            </w:r>
          </w:p>
        </w:tc>
      </w:tr>
      <w:tr>
        <w:trPr>
          <w:cantSplit/>
        </w:trPr>
        <w:tc>
          <w:tcPr>
            <w:tcW w:type="dxa" w:w="1008"/>
            <w:shd w:fill="F9FAFB"/>
            <w:tcMar>
              <w:top w:w="80" w:type="dxa"/>
              <w:bottom w:w="80" w:type="dxa"/>
              <w:left w:w="120" w:type="dxa"/>
              <w:right w:w="120" w:type="dxa"/>
            </w:tcMar>
          </w:tcPr>
          <w:p>
            <w:pPr>
              <w:spacing w:line="276" w:lineRule="auto"/>
            </w:pPr>
            <w:r>
              <w:rPr>
                <w:rFonts w:ascii="Times New Roman" w:hAnsi="Times New Roman"/>
                <w:color w:val="282828"/>
                <w:sz w:val="19"/>
              </w:rPr>
              <w:t>8</w:t>
            </w:r>
          </w:p>
        </w:tc>
        <w:tc>
          <w:tcPr>
            <w:tcW w:type="dxa" w:w="576"/>
            <w:shd w:fill="F9FAFB"/>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9FAFB"/>
            <w:tcMar>
              <w:top w:w="80" w:type="dxa"/>
              <w:bottom w:w="80" w:type="dxa"/>
              <w:left w:w="120" w:type="dxa"/>
              <w:right w:w="120" w:type="dxa"/>
            </w:tcMar>
          </w:tcPr>
          <w:p>
            <w:pPr>
              <w:spacing w:line="276" w:lineRule="auto"/>
            </w:pPr>
            <w:r>
              <w:rPr>
                <w:rFonts w:ascii="Times New Roman" w:hAnsi="Times New Roman"/>
                <w:color w:val="282828"/>
                <w:sz w:val="19"/>
              </w:rPr>
              <w:t>Bibliography &amp; References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43</w:t>
            </w:r>
          </w:p>
        </w:tc>
      </w:tr>
      <w:tr>
        <w:trPr>
          <w:cantSplit/>
        </w:trPr>
        <w:tc>
          <w:tcPr>
            <w:tcW w:type="dxa" w:w="1008"/>
            <w:shd w:fill="FFFFFF"/>
            <w:tcMar>
              <w:top w:w="80" w:type="dxa"/>
              <w:bottom w:w="80" w:type="dxa"/>
              <w:left w:w="120" w:type="dxa"/>
              <w:right w:w="120" w:type="dxa"/>
            </w:tcMar>
          </w:tcPr>
          <w:p>
            <w:pPr>
              <w:spacing w:line="276" w:lineRule="auto"/>
            </w:pPr>
            <w:r>
              <w:rPr>
                <w:rFonts w:ascii="Times New Roman" w:hAnsi="Times New Roman"/>
                <w:color w:val="282828"/>
                <w:sz w:val="19"/>
              </w:rPr>
              <w:t>9</w:t>
            </w:r>
          </w:p>
        </w:tc>
        <w:tc>
          <w:tcPr>
            <w:tcW w:type="dxa" w:w="576"/>
            <w:shd w:fill="FFFFFF"/>
            <w:tcMar>
              <w:top w:w="80" w:type="dxa"/>
              <w:bottom w:w="80" w:type="dxa"/>
              <w:left w:w="120" w:type="dxa"/>
              <w:right w:w="120" w:type="dxa"/>
            </w:tcMar>
          </w:tcPr>
          <w:p>
            <w:pPr>
              <w:spacing w:line="276" w:lineRule="auto"/>
            </w:pPr>
            <w:r>
              <w:rPr>
                <w:rFonts w:ascii="Times New Roman" w:hAnsi="Times New Roman"/>
                <w:color w:val="282828"/>
                <w:sz w:val="19"/>
              </w:rPr>
            </w:r>
          </w:p>
        </w:tc>
        <w:tc>
          <w:tcPr>
            <w:tcW w:type="dxa" w:w="6624"/>
            <w:shd w:fill="FFFFFF"/>
            <w:tcMar>
              <w:top w:w="80" w:type="dxa"/>
              <w:bottom w:w="80" w:type="dxa"/>
              <w:left w:w="120" w:type="dxa"/>
              <w:right w:w="120" w:type="dxa"/>
            </w:tcMar>
          </w:tcPr>
          <w:p>
            <w:pPr>
              <w:spacing w:line="276" w:lineRule="auto"/>
            </w:pPr>
            <w:r>
              <w:rPr>
                <w:rFonts w:ascii="Times New Roman" w:hAnsi="Times New Roman"/>
                <w:color w:val="282828"/>
                <w:sz w:val="19"/>
              </w:rPr>
              <w:t>Conclusion</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43</w:t>
            </w:r>
          </w:p>
        </w:tc>
      </w:tr>
    </w:tbl>
    <w:p>
      <w:pPr>
        <w:spacing w:after="120"/>
      </w:pPr>
    </w:p>
    <w:p>
      <w:r>
        <w:br w:type="page"/>
      </w:r>
    </w:p>
    <w:p>
      <w:pPr>
        <w:keepNext/>
        <w:spacing w:before="320" w:after="160"/>
      </w:pPr>
      <w:r>
        <w:rPr>
          <w:rFonts w:ascii="Times New Roman" w:hAnsi="Times New Roman"/>
          <w:b/>
          <w:color w:val="C00000"/>
          <w:sz w:val="32"/>
        </w:rPr>
        <w:t>CHAPTER 1: PROJECT PROFILE</w:t>
      </w:r>
    </w:p>
    <w:p>
      <w:pPr>
        <w:keepNext/>
        <w:spacing w:before="240" w:after="120"/>
      </w:pPr>
      <w:r>
        <w:rPr>
          <w:rFonts w:ascii="Times New Roman" w:hAnsi="Times New Roman"/>
          <w:b/>
          <w:color w:val="1B365D"/>
          <w:sz w:val="27"/>
        </w:rPr>
        <w:t>1.1 Project Description &amp; Background</w:t>
      </w:r>
    </w:p>
    <w:p>
      <w:pPr>
        <w:spacing w:after="120" w:line="276" w:lineRule="auto"/>
      </w:pPr>
      <w:r>
        <w:rPr>
          <w:rFonts w:ascii="Times New Roman" w:hAnsi="Times New Roman"/>
          <w:b/>
          <w:color w:val="282828"/>
          <w:sz w:val="22"/>
        </w:rPr>
        <w:t xml:space="preserve">The Critical Emergency Context: </w:t>
      </w:r>
      <w:r>
        <w:rPr>
          <w:rFonts w:ascii="Times New Roman" w:hAnsi="Times New Roman"/>
          <w:color w:val="282828"/>
          <w:sz w:val="22"/>
        </w:rPr>
        <w:t>In critical medical emergencies—including severe polytrauma, complex obstetric hemorrhages, acute oncological treatments, and routine cardiovascular surgeries—the immediate availability of safe and compatible human blood components is a deterministic factor between patient survival and preventable mortality. In India, the national blood transfusion infrastructure encompasses over 3,800 licensed blood centers spread across diverse administrative tiers. The Ministry of Health and Family Welfare (MoHFW) maintains the centralized digital portal, eRaktKosh, intended to serve as a national digital clearinghouse for real-time blood stock.</w:t>
      </w:r>
    </w:p>
    <w:p>
      <w:pPr>
        <w:spacing w:after="120" w:line="276" w:lineRule="auto"/>
      </w:pPr>
      <w:r>
        <w:rPr>
          <w:rFonts w:ascii="Times New Roman" w:hAnsi="Times New Roman"/>
          <w:b/>
          <w:color w:val="282828"/>
          <w:sz w:val="22"/>
        </w:rPr>
        <w:t xml:space="preserve">The Clinical Gap: </w:t>
      </w:r>
      <w:r>
        <w:rPr>
          <w:rFonts w:ascii="Times New Roman" w:hAnsi="Times New Roman"/>
          <w:color w:val="282828"/>
          <w:sz w:val="22"/>
        </w:rPr>
        <w:t>However, in practical real-world scenarios, the existing national portal functions primarily as a static digital directory—analogous to a legacy telephone book. Citizens, medical attendants, and emergency trauma physicians are confronted with numbers that are frequently days or weeks out of date, listings that fail to distinguish between whole blood and specific separated components (such as Packed Red Blood Cells, Fresh Frozen Plasma, Platelets, and Cryoprecipitate), and zero automated clinical decision support. Attendants are forced to make dozens of frantic, consecutive phone calls to blood banks while precious minutes slip away.</w:t>
      </w:r>
    </w:p>
    <w:p>
      <w:pPr>
        <w:spacing w:after="120" w:line="276" w:lineRule="auto"/>
      </w:pPr>
      <w:r>
        <w:rPr>
          <w:rFonts w:ascii="Times New Roman" w:hAnsi="Times New Roman"/>
          <w:b/>
          <w:color w:val="282828"/>
          <w:sz w:val="22"/>
        </w:rPr>
        <w:t xml:space="preserve">The Raktsetu Solution: </w:t>
      </w:r>
      <w:r>
        <w:rPr>
          <w:rFonts w:ascii="Times New Roman" w:hAnsi="Times New Roman"/>
          <w:color w:val="282828"/>
          <w:sz w:val="22"/>
        </w:rPr>
        <w:t>'Raktsetu' transforms this static directory into an intelligent, high-velocity Clinical Decision Lakehouse. By implementing a modern Medallion Architecture (Bronze raw ingestion, Silver normalized entities, Gold dimensional marts), powered by DuckDB's in-process vectorized query engine and dbt Core's automated data transformation and quality testing, Raktsetu ingests national inventory data, cleanses erratic scraper payloads, calculates an objective 3-Pillar Facility Trust Score (evaluating update freshness, catalog completeness, and historical update velocity), and serves an instantaneous Emergency Triage Call List with automated blood group compatibility rules.</w:t>
      </w:r>
    </w:p>
    <w:p>
      <w:pPr>
        <w:spacing w:after="120" w:line="276" w:lineRule="auto"/>
      </w:pPr>
      <w:r>
        <w:rPr>
          <w:rFonts w:ascii="Times New Roman" w:hAnsi="Times New Roman"/>
          <w:b/>
          <w:color w:val="282828"/>
          <w:sz w:val="22"/>
        </w:rPr>
        <w:t xml:space="preserve">Ethical Data Pledge: </w:t>
      </w:r>
      <w:r>
        <w:rPr>
          <w:rFonts w:ascii="Times New Roman" w:hAnsi="Times New Roman"/>
          <w:color w:val="282828"/>
          <w:sz w:val="22"/>
        </w:rPr>
        <w:t>A foundational ethical tenet of Raktsetu is its uncompromising 'Zero Fake Data' contract: the system strictly prohibits synthetic, mocked, or hallucinated numbers. In analytical views where historical trend lines require multi-day snapshots, Raktsetu provides honest, transparent telemetry ('Requires at least N real snapshots, currently X collected') rather than deceptive simulated figures.</w:t>
      </w:r>
    </w:p>
    <w:p>
      <w:pPr>
        <w:keepNext/>
        <w:spacing w:before="240" w:after="120"/>
      </w:pPr>
      <w:r>
        <w:rPr>
          <w:rFonts w:ascii="Times New Roman" w:hAnsi="Times New Roman"/>
          <w:b/>
          <w:color w:val="1B365D"/>
          <w:sz w:val="27"/>
        </w:rPr>
        <w:t>1.2 Project Scope &amp; Domain</w:t>
      </w:r>
    </w:p>
    <w:p>
      <w:pPr>
        <w:spacing w:after="120" w:line="276" w:lineRule="auto"/>
      </w:pPr>
      <w:r>
        <w:rPr>
          <w:rFonts w:ascii="Times New Roman" w:hAnsi="Times New Roman"/>
          <w:color w:val="282828"/>
          <w:sz w:val="22"/>
        </w:rPr>
        <w:t>Raktsetu operates at the intersection of Healthcare Informatics, Modern Lakehouse Data Engineering, and Clinical Decision Support Systems (CDSS). The project's architectural boundary spans automated data harvesting from public health portals, high-throughput analytical transformation, clinical rule enforcement adhering to National Blood Transfusion Council (NBTC) and World Health Organization (WHO) protocols, and zero-latency client presentation across desktop and mobile devices via an offline-capable Progressive Web Application (PWA).</w:t>
      </w:r>
    </w:p>
    <w:p>
      <w:pPr>
        <w:keepNext/>
        <w:spacing w:before="240" w:after="120"/>
      </w:pPr>
      <w:r>
        <w:rPr>
          <w:rFonts w:ascii="Times New Roman" w:hAnsi="Times New Roman"/>
          <w:b/>
          <w:color w:val="1B365D"/>
          <w:sz w:val="27"/>
        </w:rPr>
        <w:t>1.3 Project Team Composition &amp; Roles</w:t>
      </w:r>
    </w:p>
    <w:p>
      <w:pPr>
        <w:spacing w:after="120" w:line="276" w:lineRule="auto"/>
      </w:pPr>
      <w:r>
        <w:rPr>
          <w:rFonts w:ascii="Times New Roman" w:hAnsi="Times New Roman"/>
          <w:color w:val="282828"/>
          <w:sz w:val="22"/>
        </w:rPr>
        <w:t>The development of Raktsetu was executed by a collaborative two-member engineering team from CMPICA, CHARUSAT. The responsibilities were allocated according to distinct data engineering and software development disciplines: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1728"/>
            <w:shd w:fill="D8D8D8"/>
            <w:tcMar>
              <w:top w:w="120" w:type="dxa"/>
              <w:bottom w:w="120" w:type="dxa"/>
              <w:left w:w="140" w:type="dxa"/>
              <w:right w:w="140" w:type="dxa"/>
            </w:tcMar>
          </w:tcPr>
          <w:p>
            <w:pPr>
              <w:jc w:val="center"/>
            </w:pPr>
            <w:r>
              <w:rPr>
                <w:rFonts w:ascii="Times New Roman" w:hAnsi="Times New Roman"/>
                <w:b/>
                <w:color w:val="1B365D"/>
                <w:sz w:val="20"/>
              </w:rPr>
              <w:t>Member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Enrollment No</w:t>
            </w:r>
          </w:p>
        </w:tc>
        <w:tc>
          <w:tcPr>
            <w:tcW w:type="dxa" w:w="4608"/>
            <w:shd w:fill="D8D8D8"/>
            <w:tcMar>
              <w:top w:w="120" w:type="dxa"/>
              <w:bottom w:w="120" w:type="dxa"/>
              <w:left w:w="140" w:type="dxa"/>
              <w:right w:w="140" w:type="dxa"/>
            </w:tcMar>
          </w:tcPr>
          <w:p>
            <w:pPr>
              <w:jc w:val="center"/>
            </w:pPr>
            <w:r>
              <w:rPr>
                <w:rFonts w:ascii="Times New Roman" w:hAnsi="Times New Roman"/>
                <w:b/>
                <w:color w:val="1B365D"/>
                <w:sz w:val="20"/>
              </w:rPr>
              <w:t>Core Engineering Responsibilities</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Deliverables</w:t>
            </w:r>
          </w:p>
        </w:tc>
      </w:tr>
      <w:tr>
        <w:trPr>
          <w:cantSplit/>
        </w:trPr>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Radhey Gajera</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25MCA057</w:t>
            </w:r>
          </w:p>
        </w:tc>
        <w:tc>
          <w:tcPr>
            <w:tcW w:type="dxa" w:w="4608"/>
            <w:shd w:fill="FFFFFF"/>
            <w:tcMar>
              <w:top w:w="80" w:type="dxa"/>
              <w:bottom w:w="80" w:type="dxa"/>
              <w:left w:w="120" w:type="dxa"/>
              <w:right w:w="120" w:type="dxa"/>
            </w:tcMar>
          </w:tcPr>
          <w:p>
            <w:pPr>
              <w:spacing w:line="276" w:lineRule="auto"/>
            </w:pPr>
            <w:r>
              <w:rPr>
                <w:rFonts w:ascii="Times New Roman" w:hAnsi="Times New Roman"/>
                <w:color w:val="282828"/>
                <w:sz w:val="19"/>
              </w:rPr>
              <w:t>Data Engineering &amp; Architecture: Asynchronous Ingestion Engine, DuckDB Columnar Lakehouse modeling, dbt Medallion pipeline (Bronze/Silver/Gold), Dual-Database Quality Gate architecture, FastAPI high-concurrency analytical backend.</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Pipeline Engine, dbt models, Dual-DB atomic swap, REST APIs, System Testing.</w:t>
            </w:r>
          </w:p>
        </w:tc>
      </w:tr>
      <w:tr>
        <w:trPr>
          <w:cantSplit/>
        </w:trPr>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Shruti Gajipara</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25MCA058</w:t>
            </w:r>
          </w:p>
        </w:tc>
        <w:tc>
          <w:tcPr>
            <w:tcW w:type="dxa" w:w="4608"/>
            <w:shd w:fill="F9FAFB"/>
            <w:tcMar>
              <w:top w:w="80" w:type="dxa"/>
              <w:bottom w:w="80" w:type="dxa"/>
              <w:left w:w="120" w:type="dxa"/>
              <w:right w:w="120" w:type="dxa"/>
            </w:tcMar>
          </w:tcPr>
          <w:p>
            <w:pPr>
              <w:spacing w:line="276" w:lineRule="auto"/>
            </w:pPr>
            <w:r>
              <w:rPr>
                <w:rFonts w:ascii="Times New Roman" w:hAnsi="Times New Roman"/>
                <w:color w:val="282828"/>
                <w:sz w:val="19"/>
              </w:rPr>
              <w:t>Frontend Engineering &amp; Clinical Logic: Vanilla CSS3 design system (Glassmorphism, dark/clinical light modes), Leaflet geospatial mapping, Chart.js trend visualizations, NBTC/WHO clinical compatibility matrix, Tri-lingual localization (EN/HI/GU), PWA configuration.</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Frontend application, Carto map integration, Donor eligibility module, UI/UX testing.</w:t>
            </w:r>
          </w:p>
        </w:tc>
      </w:tr>
    </w:tbl>
    <w:p>
      <w:pPr>
        <w:spacing w:after="120"/>
      </w:pPr>
    </w:p>
    <w:p>
      <w:pPr>
        <w:keepNext/>
        <w:spacing w:before="240" w:after="120"/>
      </w:pPr>
      <w:r>
        <w:rPr>
          <w:rFonts w:ascii="Times New Roman" w:hAnsi="Times New Roman"/>
          <w:b/>
          <w:color w:val="1B365D"/>
          <w:sz w:val="27"/>
        </w:rPr>
        <w:t>1.4 Hardware &amp; Software Requirements</w:t>
      </w:r>
    </w:p>
    <w:p>
      <w:pPr>
        <w:spacing w:after="120" w:line="276" w:lineRule="auto"/>
      </w:pPr>
      <w:r>
        <w:rPr>
          <w:rFonts w:ascii="Times New Roman" w:hAnsi="Times New Roman"/>
          <w:color w:val="282828"/>
          <w:sz w:val="22"/>
        </w:rPr>
        <w:t>To ensure high maintainability, reproducible builds, and seamless deployment across academic and cloud environments, Raktsetu was built using modern industry standards and fully open-source technologies:</w:t>
      </w:r>
    </w:p>
    <w:p>
      <w:pPr>
        <w:keepNext/>
        <w:spacing w:before="160" w:after="80"/>
      </w:pPr>
      <w:r>
        <w:rPr>
          <w:rFonts w:ascii="Times New Roman" w:hAnsi="Times New Roman"/>
          <w:b/>
          <w:color w:val="282828"/>
          <w:sz w:val="24"/>
        </w:rPr>
        <w:t>Development &amp; Server Specifications:</w:t>
      </w:r>
    </w:p>
    <w:p>
      <w:pPr>
        <w:pStyle w:val="ListParagraph"/>
        <w:spacing w:after="80" w:line="276" w:lineRule="auto"/>
      </w:pPr>
      <w:r>
        <w:rPr>
          <w:rFonts w:ascii="Times New Roman" w:hAnsi="Times New Roman"/>
          <w:b/>
          <w:color w:val="282828"/>
          <w:sz w:val="22"/>
        </w:rPr>
        <w:t xml:space="preserve">Processor: </w:t>
      </w:r>
      <w:r>
        <w:rPr>
          <w:rFonts w:ascii="Times New Roman" w:hAnsi="Times New Roman"/>
          <w:color w:val="282828"/>
          <w:sz w:val="22"/>
        </w:rPr>
        <w:t>64-bit multi-core processor (Intel Core i5/i7 10th Gen+, AMD Ryzen 5+, or Apple Silicon M-series).</w:t>
      </w:r>
    </w:p>
    <w:p>
      <w:pPr>
        <w:pStyle w:val="ListParagraph"/>
        <w:spacing w:after="80" w:line="276" w:lineRule="auto"/>
      </w:pPr>
      <w:r>
        <w:rPr>
          <w:rFonts w:ascii="Times New Roman" w:hAnsi="Times New Roman"/>
          <w:b/>
          <w:color w:val="282828"/>
          <w:sz w:val="22"/>
        </w:rPr>
        <w:t xml:space="preserve">Memory: </w:t>
      </w:r>
      <w:r>
        <w:rPr>
          <w:rFonts w:ascii="Times New Roman" w:hAnsi="Times New Roman"/>
          <w:color w:val="282828"/>
          <w:sz w:val="22"/>
        </w:rPr>
        <w:t>Minimum 8 GB RAM (16 GB recommended for multi-district DuckDB aggregation and dbt testing).</w:t>
      </w:r>
    </w:p>
    <w:p>
      <w:pPr>
        <w:pStyle w:val="ListParagraph"/>
        <w:spacing w:after="80" w:line="276" w:lineRule="auto"/>
      </w:pPr>
      <w:r>
        <w:rPr>
          <w:rFonts w:ascii="Times New Roman" w:hAnsi="Times New Roman"/>
          <w:b/>
          <w:color w:val="282828"/>
          <w:sz w:val="22"/>
        </w:rPr>
        <w:t xml:space="preserve">Storage: </w:t>
      </w:r>
      <w:r>
        <w:rPr>
          <w:rFonts w:ascii="Times New Roman" w:hAnsi="Times New Roman"/>
          <w:color w:val="282828"/>
          <w:sz w:val="22"/>
        </w:rPr>
        <w:t>NVMe Solid State Drive with at least 10 GB free space for database storage and historical snapshots.</w:t>
      </w:r>
    </w:p>
    <w:p>
      <w:pPr>
        <w:pStyle w:val="ListParagraph"/>
        <w:spacing w:after="80" w:line="276" w:lineRule="auto"/>
      </w:pPr>
      <w:r>
        <w:rPr>
          <w:rFonts w:ascii="Times New Roman" w:hAnsi="Times New Roman"/>
          <w:b/>
          <w:color w:val="282828"/>
          <w:sz w:val="22"/>
        </w:rPr>
        <w:t xml:space="preserve">Operating System: </w:t>
      </w:r>
      <w:r>
        <w:rPr>
          <w:rFonts w:ascii="Times New Roman" w:hAnsi="Times New Roman"/>
          <w:color w:val="282828"/>
          <w:sz w:val="22"/>
        </w:rPr>
        <w:t>Ubuntu 22.04 LTS / Debian Linux / macOS Sonoma / Windows 11 with WSL2.</w:t>
      </w:r>
    </w:p>
    <w:p>
      <w:pPr>
        <w:pStyle w:val="ListParagraph"/>
        <w:spacing w:after="80" w:line="276" w:lineRule="auto"/>
      </w:pPr>
      <w:r>
        <w:rPr>
          <w:rFonts w:ascii="Times New Roman" w:hAnsi="Times New Roman"/>
          <w:b/>
          <w:color w:val="282828"/>
          <w:sz w:val="22"/>
        </w:rPr>
        <w:t xml:space="preserve">Network: </w:t>
      </w:r>
      <w:r>
        <w:rPr>
          <w:rFonts w:ascii="Times New Roman" w:hAnsi="Times New Roman"/>
          <w:color w:val="282828"/>
          <w:sz w:val="22"/>
        </w:rPr>
        <w:t>Broadband Internet connection (minimum 10 Mbps) for non-blocking asynchronous data ingestion.</w:t>
      </w:r>
    </w:p>
    <w:p>
      <w:pPr>
        <w:keepNext/>
        <w:spacing w:before="160" w:after="80"/>
      </w:pPr>
      <w:r>
        <w:rPr>
          <w:rFonts w:ascii="Times New Roman" w:hAnsi="Times New Roman"/>
          <w:b/>
          <w:color w:val="282828"/>
          <w:sz w:val="24"/>
        </w:rPr>
        <w:t>Client &amp; End-User Specifications:</w:t>
      </w:r>
    </w:p>
    <w:p>
      <w:pPr>
        <w:pStyle w:val="ListParagraph"/>
        <w:spacing w:after="80" w:line="276" w:lineRule="auto"/>
      </w:pPr>
      <w:r>
        <w:rPr>
          <w:rFonts w:ascii="Times New Roman" w:hAnsi="Times New Roman"/>
          <w:b/>
          <w:color w:val="282828"/>
          <w:sz w:val="22"/>
        </w:rPr>
        <w:t xml:space="preserve">Browser: </w:t>
      </w:r>
      <w:r>
        <w:rPr>
          <w:rFonts w:ascii="Times New Roman" w:hAnsi="Times New Roman"/>
          <w:color w:val="282828"/>
          <w:sz w:val="22"/>
        </w:rPr>
        <w:t>Any modern web browser supporting ECMAScript 2020+ (Google Chrome 90+, Mozilla Firefox 88+, Safari 14+, Microsoft Edge).</w:t>
      </w:r>
    </w:p>
    <w:p>
      <w:pPr>
        <w:pStyle w:val="ListParagraph"/>
        <w:spacing w:after="80" w:line="276" w:lineRule="auto"/>
      </w:pPr>
      <w:r>
        <w:rPr>
          <w:rFonts w:ascii="Times New Roman" w:hAnsi="Times New Roman"/>
          <w:b/>
          <w:color w:val="282828"/>
          <w:sz w:val="22"/>
        </w:rPr>
        <w:t xml:space="preserve">Mobile OS: </w:t>
      </w:r>
      <w:r>
        <w:rPr>
          <w:rFonts w:ascii="Times New Roman" w:hAnsi="Times New Roman"/>
          <w:color w:val="282828"/>
          <w:sz w:val="22"/>
        </w:rPr>
        <w:t>Android 8.0+ or iOS 13+ with Progressive Web App (PWA) installation capability.</w:t>
      </w:r>
    </w:p>
    <w:p>
      <w:pPr>
        <w:pStyle w:val="ListParagraph"/>
        <w:spacing w:after="80" w:line="276" w:lineRule="auto"/>
      </w:pPr>
      <w:r>
        <w:rPr>
          <w:rFonts w:ascii="Times New Roman" w:hAnsi="Times New Roman"/>
          <w:b/>
          <w:color w:val="282828"/>
          <w:sz w:val="22"/>
        </w:rPr>
        <w:t xml:space="preserve">Connectivity: </w:t>
      </w:r>
      <w:r>
        <w:rPr>
          <w:rFonts w:ascii="Times New Roman" w:hAnsi="Times New Roman"/>
          <w:color w:val="282828"/>
          <w:sz w:val="22"/>
        </w:rPr>
        <w:t>Standard 4G/5G or Wi-Fi connectivity for live search; cached data available offline.</w:t>
      </w:r>
    </w:p>
    <w:p>
      <w:pPr>
        <w:keepNext/>
        <w:spacing w:before="160" w:after="80"/>
      </w:pPr>
      <w:r>
        <w:rPr>
          <w:rFonts w:ascii="Times New Roman" w:hAnsi="Times New Roman"/>
          <w:b/>
          <w:color w:val="282828"/>
          <w:sz w:val="24"/>
        </w:rPr>
        <w:t>Comprehensive Software Stack &amp; Versions: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Software / Component</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Exact Version</w:t>
            </w:r>
          </w:p>
        </w:tc>
        <w:tc>
          <w:tcPr>
            <w:tcW w:type="dxa" w:w="1872"/>
            <w:shd w:fill="D8D8D8"/>
            <w:tcMar>
              <w:top w:w="120" w:type="dxa"/>
              <w:bottom w:w="120" w:type="dxa"/>
              <w:left w:w="140" w:type="dxa"/>
              <w:right w:w="140" w:type="dxa"/>
            </w:tcMar>
          </w:tcPr>
          <w:p>
            <w:pPr>
              <w:jc w:val="center"/>
            </w:pPr>
            <w:r>
              <w:rPr>
                <w:rFonts w:ascii="Times New Roman" w:hAnsi="Times New Roman"/>
                <w:b/>
                <w:color w:val="1B365D"/>
                <w:sz w:val="20"/>
              </w:rPr>
              <w:t>License</w:t>
            </w:r>
          </w:p>
        </w:tc>
        <w:tc>
          <w:tcPr>
            <w:tcW w:type="dxa" w:w="4176"/>
            <w:shd w:fill="D8D8D8"/>
            <w:tcMar>
              <w:top w:w="120" w:type="dxa"/>
              <w:bottom w:w="120" w:type="dxa"/>
              <w:left w:w="140" w:type="dxa"/>
              <w:right w:w="140" w:type="dxa"/>
            </w:tcMar>
          </w:tcPr>
          <w:p>
            <w:pPr>
              <w:jc w:val="center"/>
            </w:pPr>
            <w:r>
              <w:rPr>
                <w:rFonts w:ascii="Times New Roman" w:hAnsi="Times New Roman"/>
                <w:b/>
                <w:color w:val="1B365D"/>
                <w:sz w:val="20"/>
              </w:rPr>
              <w:t>Function in Raktsetu</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Python</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v3.12.3</w:t>
            </w:r>
          </w:p>
        </w:tc>
        <w:tc>
          <w:tcPr>
            <w:tcW w:type="dxa" w:w="1872"/>
            <w:shd w:fill="FFFFFF"/>
            <w:tcMar>
              <w:top w:w="80" w:type="dxa"/>
              <w:bottom w:w="80" w:type="dxa"/>
              <w:left w:w="120" w:type="dxa"/>
              <w:right w:w="120" w:type="dxa"/>
            </w:tcMar>
          </w:tcPr>
          <w:p>
            <w:pPr>
              <w:spacing w:line="276" w:lineRule="auto"/>
            </w:pPr>
            <w:r>
              <w:rPr>
                <w:rFonts w:ascii="Times New Roman" w:hAnsi="Times New Roman"/>
                <w:color w:val="282828"/>
                <w:sz w:val="19"/>
              </w:rPr>
              <w:t>PSF Open Source</w:t>
            </w:r>
          </w:p>
        </w:tc>
        <w:tc>
          <w:tcPr>
            <w:tcW w:type="dxa" w:w="4176"/>
            <w:shd w:fill="FFFFFF"/>
            <w:tcMar>
              <w:top w:w="80" w:type="dxa"/>
              <w:bottom w:w="80" w:type="dxa"/>
              <w:left w:w="120" w:type="dxa"/>
              <w:right w:w="120" w:type="dxa"/>
            </w:tcMar>
          </w:tcPr>
          <w:p>
            <w:pPr>
              <w:spacing w:line="276" w:lineRule="auto"/>
            </w:pPr>
            <w:r>
              <w:rPr>
                <w:rFonts w:ascii="Times New Roman" w:hAnsi="Times New Roman"/>
                <w:color w:val="282828"/>
                <w:sz w:val="19"/>
              </w:rPr>
              <w:t>Primary runtime for scraper, lakehouse engine, and REST API.</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uv</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v0.4.18+</w:t>
            </w:r>
          </w:p>
        </w:tc>
        <w:tc>
          <w:tcPr>
            <w:tcW w:type="dxa" w:w="1872"/>
            <w:shd w:fill="F9FAFB"/>
            <w:tcMar>
              <w:top w:w="80" w:type="dxa"/>
              <w:bottom w:w="80" w:type="dxa"/>
              <w:left w:w="120" w:type="dxa"/>
              <w:right w:w="120" w:type="dxa"/>
            </w:tcMar>
          </w:tcPr>
          <w:p>
            <w:pPr>
              <w:spacing w:line="276" w:lineRule="auto"/>
            </w:pPr>
            <w:r>
              <w:rPr>
                <w:rFonts w:ascii="Times New Roman" w:hAnsi="Times New Roman"/>
                <w:color w:val="282828"/>
                <w:sz w:val="19"/>
              </w:rPr>
              <w:t>Apache 2.0 / MIT</w:t>
            </w:r>
          </w:p>
        </w:tc>
        <w:tc>
          <w:tcPr>
            <w:tcW w:type="dxa" w:w="4176"/>
            <w:shd w:fill="F9FAFB"/>
            <w:tcMar>
              <w:top w:w="80" w:type="dxa"/>
              <w:bottom w:w="80" w:type="dxa"/>
              <w:left w:w="120" w:type="dxa"/>
              <w:right w:w="120" w:type="dxa"/>
            </w:tcMar>
          </w:tcPr>
          <w:p>
            <w:pPr>
              <w:spacing w:line="276" w:lineRule="auto"/>
            </w:pPr>
            <w:r>
              <w:rPr>
                <w:rFonts w:ascii="Times New Roman" w:hAnsi="Times New Roman"/>
                <w:color w:val="282828"/>
                <w:sz w:val="19"/>
              </w:rPr>
              <w:t>Ultra-fast Rust-based Python dependency resolver and virtualenv manager.</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DuckDB</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v1.1.0+</w:t>
            </w:r>
          </w:p>
        </w:tc>
        <w:tc>
          <w:tcPr>
            <w:tcW w:type="dxa" w:w="1872"/>
            <w:shd w:fill="FFFFFF"/>
            <w:tcMar>
              <w:top w:w="80" w:type="dxa"/>
              <w:bottom w:w="80" w:type="dxa"/>
              <w:left w:w="120" w:type="dxa"/>
              <w:right w:w="120" w:type="dxa"/>
            </w:tcMar>
          </w:tcPr>
          <w:p>
            <w:pPr>
              <w:spacing w:line="276" w:lineRule="auto"/>
            </w:pPr>
            <w:r>
              <w:rPr>
                <w:rFonts w:ascii="Times New Roman" w:hAnsi="Times New Roman"/>
                <w:color w:val="282828"/>
                <w:sz w:val="19"/>
              </w:rPr>
              <w:t>MIT License</w:t>
            </w:r>
          </w:p>
        </w:tc>
        <w:tc>
          <w:tcPr>
            <w:tcW w:type="dxa" w:w="4176"/>
            <w:shd w:fill="FFFFFF"/>
            <w:tcMar>
              <w:top w:w="80" w:type="dxa"/>
              <w:bottom w:w="80" w:type="dxa"/>
              <w:left w:w="120" w:type="dxa"/>
              <w:right w:w="120" w:type="dxa"/>
            </w:tcMar>
          </w:tcPr>
          <w:p>
            <w:pPr>
              <w:spacing w:line="276" w:lineRule="auto"/>
            </w:pPr>
            <w:r>
              <w:rPr>
                <w:rFonts w:ascii="Times New Roman" w:hAnsi="Times New Roman"/>
                <w:color w:val="282828"/>
                <w:sz w:val="19"/>
              </w:rPr>
              <w:t>Vectorized in-process OLAP database for sub-millisecond stock analytics.</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dbt Core (dbt-duckdb)</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v1.8.0+</w:t>
            </w:r>
          </w:p>
        </w:tc>
        <w:tc>
          <w:tcPr>
            <w:tcW w:type="dxa" w:w="1872"/>
            <w:shd w:fill="F9FAFB"/>
            <w:tcMar>
              <w:top w:w="80" w:type="dxa"/>
              <w:bottom w:w="80" w:type="dxa"/>
              <w:left w:w="120" w:type="dxa"/>
              <w:right w:w="120" w:type="dxa"/>
            </w:tcMar>
          </w:tcPr>
          <w:p>
            <w:pPr>
              <w:spacing w:line="276" w:lineRule="auto"/>
            </w:pPr>
            <w:r>
              <w:rPr>
                <w:rFonts w:ascii="Times New Roman" w:hAnsi="Times New Roman"/>
                <w:color w:val="282828"/>
                <w:sz w:val="19"/>
              </w:rPr>
              <w:t>Apache 2.0</w:t>
            </w:r>
          </w:p>
        </w:tc>
        <w:tc>
          <w:tcPr>
            <w:tcW w:type="dxa" w:w="4176"/>
            <w:shd w:fill="F9FAFB"/>
            <w:tcMar>
              <w:top w:w="80" w:type="dxa"/>
              <w:bottom w:w="80" w:type="dxa"/>
              <w:left w:w="120" w:type="dxa"/>
              <w:right w:w="120" w:type="dxa"/>
            </w:tcMar>
          </w:tcPr>
          <w:p>
            <w:pPr>
              <w:spacing w:line="276" w:lineRule="auto"/>
            </w:pPr>
            <w:r>
              <w:rPr>
                <w:rFonts w:ascii="Times New Roman" w:hAnsi="Times New Roman"/>
                <w:color w:val="282828"/>
                <w:sz w:val="19"/>
              </w:rPr>
              <w:t>Data transformation, Medallion lineage, and schema test automation.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FastAPI</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v0.115.0+</w:t>
            </w:r>
          </w:p>
        </w:tc>
        <w:tc>
          <w:tcPr>
            <w:tcW w:type="dxa" w:w="1872"/>
            <w:shd w:fill="FFFFFF"/>
            <w:tcMar>
              <w:top w:w="80" w:type="dxa"/>
              <w:bottom w:w="80" w:type="dxa"/>
              <w:left w:w="120" w:type="dxa"/>
              <w:right w:w="120" w:type="dxa"/>
            </w:tcMar>
          </w:tcPr>
          <w:p>
            <w:pPr>
              <w:spacing w:line="276" w:lineRule="auto"/>
            </w:pPr>
            <w:r>
              <w:rPr>
                <w:rFonts w:ascii="Times New Roman" w:hAnsi="Times New Roman"/>
                <w:color w:val="282828"/>
                <w:sz w:val="19"/>
              </w:rPr>
              <w:t>MIT License</w:t>
            </w:r>
          </w:p>
        </w:tc>
        <w:tc>
          <w:tcPr>
            <w:tcW w:type="dxa" w:w="4176"/>
            <w:shd w:fill="FFFFFF"/>
            <w:tcMar>
              <w:top w:w="80" w:type="dxa"/>
              <w:bottom w:w="80" w:type="dxa"/>
              <w:left w:w="120" w:type="dxa"/>
              <w:right w:w="120" w:type="dxa"/>
            </w:tcMar>
          </w:tcPr>
          <w:p>
            <w:pPr>
              <w:spacing w:line="276" w:lineRule="auto"/>
            </w:pPr>
            <w:r>
              <w:rPr>
                <w:rFonts w:ascii="Times New Roman" w:hAnsi="Times New Roman"/>
                <w:color w:val="282828"/>
                <w:sz w:val="19"/>
              </w:rPr>
              <w:t>High-performance ASGI web framework for analytical REST endpoints.</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Uvicorn</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v0.30.0+</w:t>
            </w:r>
          </w:p>
        </w:tc>
        <w:tc>
          <w:tcPr>
            <w:tcW w:type="dxa" w:w="1872"/>
            <w:shd w:fill="F9FAFB"/>
            <w:tcMar>
              <w:top w:w="80" w:type="dxa"/>
              <w:bottom w:w="80" w:type="dxa"/>
              <w:left w:w="120" w:type="dxa"/>
              <w:right w:w="120" w:type="dxa"/>
            </w:tcMar>
          </w:tcPr>
          <w:p>
            <w:pPr>
              <w:spacing w:line="276" w:lineRule="auto"/>
            </w:pPr>
            <w:r>
              <w:rPr>
                <w:rFonts w:ascii="Times New Roman" w:hAnsi="Times New Roman"/>
                <w:color w:val="282828"/>
                <w:sz w:val="19"/>
              </w:rPr>
              <w:t>BSD License</w:t>
            </w:r>
          </w:p>
        </w:tc>
        <w:tc>
          <w:tcPr>
            <w:tcW w:type="dxa" w:w="4176"/>
            <w:shd w:fill="F9FAFB"/>
            <w:tcMar>
              <w:top w:w="80" w:type="dxa"/>
              <w:bottom w:w="80" w:type="dxa"/>
              <w:left w:w="120" w:type="dxa"/>
              <w:right w:w="120" w:type="dxa"/>
            </w:tcMar>
          </w:tcPr>
          <w:p>
            <w:pPr>
              <w:spacing w:line="276" w:lineRule="auto"/>
            </w:pPr>
            <w:r>
              <w:rPr>
                <w:rFonts w:ascii="Times New Roman" w:hAnsi="Times New Roman"/>
                <w:color w:val="282828"/>
                <w:sz w:val="19"/>
              </w:rPr>
              <w:t>Lightning-fast ASGI web server implementation.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Leaflet.js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v1.9.4</w:t>
            </w:r>
          </w:p>
        </w:tc>
        <w:tc>
          <w:tcPr>
            <w:tcW w:type="dxa" w:w="1872"/>
            <w:shd w:fill="FFFFFF"/>
            <w:tcMar>
              <w:top w:w="80" w:type="dxa"/>
              <w:bottom w:w="80" w:type="dxa"/>
              <w:left w:w="120" w:type="dxa"/>
              <w:right w:w="120" w:type="dxa"/>
            </w:tcMar>
          </w:tcPr>
          <w:p>
            <w:pPr>
              <w:spacing w:line="276" w:lineRule="auto"/>
            </w:pPr>
            <w:r>
              <w:rPr>
                <w:rFonts w:ascii="Times New Roman" w:hAnsi="Times New Roman"/>
                <w:color w:val="282828"/>
                <w:sz w:val="19"/>
              </w:rPr>
              <w:t>BSD-2-Clause</w:t>
            </w:r>
          </w:p>
        </w:tc>
        <w:tc>
          <w:tcPr>
            <w:tcW w:type="dxa" w:w="4176"/>
            <w:shd w:fill="FFFFFF"/>
            <w:tcMar>
              <w:top w:w="80" w:type="dxa"/>
              <w:bottom w:w="80" w:type="dxa"/>
              <w:left w:w="120" w:type="dxa"/>
              <w:right w:w="120" w:type="dxa"/>
            </w:tcMar>
          </w:tcPr>
          <w:p>
            <w:pPr>
              <w:spacing w:line="276" w:lineRule="auto"/>
            </w:pPr>
            <w:r>
              <w:rPr>
                <w:rFonts w:ascii="Times New Roman" w:hAnsi="Times New Roman"/>
                <w:color w:val="282828"/>
                <w:sz w:val="19"/>
              </w:rPr>
              <w:t>Lightweight open-source interactive mapping library.</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Carto Positron</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Vector/Raster v1</w:t>
            </w:r>
          </w:p>
        </w:tc>
        <w:tc>
          <w:tcPr>
            <w:tcW w:type="dxa" w:w="1872"/>
            <w:shd w:fill="F9FAFB"/>
            <w:tcMar>
              <w:top w:w="80" w:type="dxa"/>
              <w:bottom w:w="80" w:type="dxa"/>
              <w:left w:w="120" w:type="dxa"/>
              <w:right w:w="120" w:type="dxa"/>
            </w:tcMar>
          </w:tcPr>
          <w:p>
            <w:pPr>
              <w:spacing w:line="276" w:lineRule="auto"/>
            </w:pPr>
            <w:r>
              <w:rPr>
                <w:rFonts w:ascii="Times New Roman" w:hAnsi="Times New Roman"/>
                <w:color w:val="282828"/>
                <w:sz w:val="19"/>
              </w:rPr>
              <w:t>OpenStreetMap / Carto</w:t>
            </w:r>
          </w:p>
        </w:tc>
        <w:tc>
          <w:tcPr>
            <w:tcW w:type="dxa" w:w="4176"/>
            <w:shd w:fill="F9FAFB"/>
            <w:tcMar>
              <w:top w:w="80" w:type="dxa"/>
              <w:bottom w:w="80" w:type="dxa"/>
              <w:left w:w="120" w:type="dxa"/>
              <w:right w:w="120" w:type="dxa"/>
            </w:tcMar>
          </w:tcPr>
          <w:p>
            <w:pPr>
              <w:spacing w:line="276" w:lineRule="auto"/>
            </w:pPr>
            <w:r>
              <w:rPr>
                <w:rFonts w:ascii="Times New Roman" w:hAnsi="Times New Roman"/>
                <w:color w:val="282828"/>
                <w:sz w:val="19"/>
              </w:rPr>
              <w:t>High-contrast clinical basemap tiles for facility geospatial pins.</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Chart.js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v4.4.2</w:t>
            </w:r>
          </w:p>
        </w:tc>
        <w:tc>
          <w:tcPr>
            <w:tcW w:type="dxa" w:w="1872"/>
            <w:shd w:fill="FFFFFF"/>
            <w:tcMar>
              <w:top w:w="80" w:type="dxa"/>
              <w:bottom w:w="80" w:type="dxa"/>
              <w:left w:w="120" w:type="dxa"/>
              <w:right w:w="120" w:type="dxa"/>
            </w:tcMar>
          </w:tcPr>
          <w:p>
            <w:pPr>
              <w:spacing w:line="276" w:lineRule="auto"/>
            </w:pPr>
            <w:r>
              <w:rPr>
                <w:rFonts w:ascii="Times New Roman" w:hAnsi="Times New Roman"/>
                <w:color w:val="282828"/>
                <w:sz w:val="19"/>
              </w:rPr>
              <w:t>MIT License</w:t>
            </w:r>
          </w:p>
        </w:tc>
        <w:tc>
          <w:tcPr>
            <w:tcW w:type="dxa" w:w="4176"/>
            <w:shd w:fill="FFFFFF"/>
            <w:tcMar>
              <w:top w:w="80" w:type="dxa"/>
              <w:bottom w:w="80" w:type="dxa"/>
              <w:left w:w="120" w:type="dxa"/>
              <w:right w:w="120" w:type="dxa"/>
            </w:tcMar>
          </w:tcPr>
          <w:p>
            <w:pPr>
              <w:spacing w:line="276" w:lineRule="auto"/>
            </w:pPr>
            <w:r>
              <w:rPr>
                <w:rFonts w:ascii="Times New Roman" w:hAnsi="Times New Roman"/>
                <w:color w:val="282828"/>
                <w:sz w:val="19"/>
              </w:rPr>
              <w:t>HTML5 Canvas charting library for real-time and historical stock trends.</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Pytest</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v8.2.0+</w:t>
            </w:r>
          </w:p>
        </w:tc>
        <w:tc>
          <w:tcPr>
            <w:tcW w:type="dxa" w:w="1872"/>
            <w:shd w:fill="F9FAFB"/>
            <w:tcMar>
              <w:top w:w="80" w:type="dxa"/>
              <w:bottom w:w="80" w:type="dxa"/>
              <w:left w:w="120" w:type="dxa"/>
              <w:right w:w="120" w:type="dxa"/>
            </w:tcMar>
          </w:tcPr>
          <w:p>
            <w:pPr>
              <w:spacing w:line="276" w:lineRule="auto"/>
            </w:pPr>
            <w:r>
              <w:rPr>
                <w:rFonts w:ascii="Times New Roman" w:hAnsi="Times New Roman"/>
                <w:color w:val="282828"/>
                <w:sz w:val="19"/>
              </w:rPr>
              <w:t>MIT License</w:t>
            </w:r>
          </w:p>
        </w:tc>
        <w:tc>
          <w:tcPr>
            <w:tcW w:type="dxa" w:w="4176"/>
            <w:shd w:fill="F9FAFB"/>
            <w:tcMar>
              <w:top w:w="80" w:type="dxa"/>
              <w:bottom w:w="80" w:type="dxa"/>
              <w:left w:w="120" w:type="dxa"/>
              <w:right w:w="120" w:type="dxa"/>
            </w:tcMar>
          </w:tcPr>
          <w:p>
            <w:pPr>
              <w:spacing w:line="276" w:lineRule="auto"/>
            </w:pPr>
            <w:r>
              <w:rPr>
                <w:rFonts w:ascii="Times New Roman" w:hAnsi="Times New Roman"/>
                <w:color w:val="282828"/>
                <w:sz w:val="19"/>
              </w:rPr>
              <w:t>Automated backend unit, integration, and clinical safety test framework.</w:t>
            </w:r>
          </w:p>
        </w:tc>
      </w:tr>
    </w:tbl>
    <w:p>
      <w:pPr>
        <w:spacing w:after="120"/>
      </w:pPr>
    </w:p>
    <w:p>
      <w:r>
        <w:br w:type="page"/>
      </w:r>
    </w:p>
    <w:p>
      <w:pPr>
        <w:keepNext/>
        <w:spacing w:before="320" w:after="160"/>
      </w:pPr>
      <w:r>
        <w:rPr>
          <w:rFonts w:ascii="Times New Roman" w:hAnsi="Times New Roman"/>
          <w:b/>
          <w:color w:val="C00000"/>
          <w:sz w:val="32"/>
        </w:rPr>
        <w:t>CHAPTER 2: INTRODUCTION TO TOOLS &amp; TECHNOLOGY</w:t>
      </w:r>
    </w:p>
    <w:p>
      <w:pPr>
        <w:keepNext/>
        <w:spacing w:before="240" w:after="120"/>
      </w:pPr>
      <w:r>
        <w:rPr>
          <w:rFonts w:ascii="Times New Roman" w:hAnsi="Times New Roman"/>
          <w:b/>
          <w:color w:val="1B365D"/>
          <w:sz w:val="27"/>
        </w:rPr>
        <w:t>2.1 Front-End Stack</w:t>
      </w:r>
    </w:p>
    <w:p>
      <w:pPr>
        <w:spacing w:after="120" w:line="276" w:lineRule="auto"/>
      </w:pPr>
      <w:r>
        <w:rPr>
          <w:rFonts w:ascii="Times New Roman" w:hAnsi="Times New Roman"/>
          <w:color w:val="282828"/>
          <w:sz w:val="22"/>
        </w:rPr>
        <w:t>Modern healthcare web applications demand instantaneous responsiveness, absolute visual clarity, and universal accessibility. Raktsetu purposefully eliminates bloated JavaScript frameworks (such as React or Angular) that introduce multi-megabyte bundle payloads and fragile client-side hydration lifecycles. Instead, it leverages a pure Vanilla Web Architecture engineered for speed and reliability.</w:t>
      </w:r>
    </w:p>
    <w:p>
      <w:pPr>
        <w:spacing w:after="120" w:line="276" w:lineRule="auto"/>
      </w:pPr>
      <w:r>
        <w:rPr>
          <w:rFonts w:ascii="Times New Roman" w:hAnsi="Times New Roman"/>
          <w:b/>
          <w:color w:val="282828"/>
          <w:sz w:val="22"/>
        </w:rPr>
        <w:t xml:space="preserve">Semantic HTML5 &amp; Accessibility: </w:t>
      </w:r>
      <w:r>
        <w:rPr>
          <w:rFonts w:ascii="Times New Roman" w:hAnsi="Times New Roman"/>
          <w:color w:val="282828"/>
          <w:sz w:val="22"/>
        </w:rPr>
        <w:t>The application markup strictly adheres to W3C HTML5 standards and WCAG 2.1 AA accessibility guidelines. All interactive controls feature explicit ARIA attributes (e.g., aria-label, role='dialog', aria-live='polite' for emergency alerts), ensuring screen-reader compatibility and seamless keyboard navigation for emergency personnel.</w:t>
      </w:r>
    </w:p>
    <w:p>
      <w:pPr>
        <w:spacing w:after="120" w:line="276" w:lineRule="auto"/>
      </w:pPr>
      <w:r>
        <w:rPr>
          <w:rFonts w:ascii="Times New Roman" w:hAnsi="Times New Roman"/>
          <w:b/>
          <w:color w:val="282828"/>
          <w:sz w:val="22"/>
        </w:rPr>
        <w:t xml:space="preserve">Vanilla CSS3 &amp; Clinical Design Tokens: </w:t>
      </w:r>
      <w:r>
        <w:rPr>
          <w:rFonts w:ascii="Times New Roman" w:hAnsi="Times New Roman"/>
          <w:color w:val="282828"/>
          <w:sz w:val="22"/>
        </w:rPr>
        <w:t>A bespoke design system was crafted from scratch using Vanilla CSS custom properties (variables), flexible box layout, and CSS Grid. The interface incorporates glassmorphism cards, micro-animations, and fluid transitions. Crucially, the system provides both a dark mode for low-light clinical emergency rooms and a specialized 'Clinical Light Theme' (high-contrast ivory and crisp crimson accents) optimized for daytime hospital triage desks.</w:t>
      </w:r>
    </w:p>
    <w:p>
      <w:pPr>
        <w:spacing w:after="120" w:line="276" w:lineRule="auto"/>
      </w:pPr>
      <w:r>
        <w:rPr>
          <w:rFonts w:ascii="Times New Roman" w:hAnsi="Times New Roman"/>
          <w:b/>
          <w:color w:val="282828"/>
          <w:sz w:val="22"/>
        </w:rPr>
        <w:t xml:space="preserve">Vanilla JavaScript (ES6+): </w:t>
      </w:r>
      <w:r>
        <w:rPr>
          <w:rFonts w:ascii="Times New Roman" w:hAnsi="Times New Roman"/>
          <w:color w:val="282828"/>
          <w:sz w:val="22"/>
        </w:rPr>
        <w:t>Client logic is organized into clean, modular ECMAScript 6+ native modules without requiring bundlers like Webpack or Vite. Asynchronous network operations utilize the native Fetch API with structured AbortControllers for request cancellation during rapid searching. State management is handled via reactive pub/sub event stores that update the UI in sub-5ms rendering loops.</w:t>
      </w:r>
    </w:p>
    <w:p>
      <w:pPr>
        <w:spacing w:after="120" w:line="276" w:lineRule="auto"/>
      </w:pPr>
      <w:r>
        <w:rPr>
          <w:rFonts w:ascii="Times New Roman" w:hAnsi="Times New Roman"/>
          <w:b/>
          <w:color w:val="282828"/>
          <w:sz w:val="22"/>
        </w:rPr>
        <w:t xml:space="preserve">Geospatial Mapping (Leaflet &amp; Carto): </w:t>
      </w:r>
      <w:r>
        <w:rPr>
          <w:rFonts w:ascii="Times New Roman" w:hAnsi="Times New Roman"/>
          <w:color w:val="282828"/>
          <w:sz w:val="22"/>
        </w:rPr>
        <w:t>Geographic visualization is delivered through Leaflet.js integrated with Carto Positron basemap tiles. Custom SVG markers represent blood centers, color-coded dynamically based on the facility's 3-Pillar Reliability Score (Green for Verified, Amber for Moderate, Red for Caution). Interactive popups display real-time units by component, direct click-to-call telephone links, and Google Maps navigation routes.</w:t>
      </w:r>
    </w:p>
    <w:p>
      <w:pPr>
        <w:spacing w:after="120" w:line="276" w:lineRule="auto"/>
      </w:pPr>
      <w:r>
        <w:rPr>
          <w:rFonts w:ascii="Times New Roman" w:hAnsi="Times New Roman"/>
          <w:b/>
          <w:color w:val="282828"/>
          <w:sz w:val="22"/>
        </w:rPr>
        <w:t xml:space="preserve">Chart.js Visualization Engine: </w:t>
      </w:r>
      <w:r>
        <w:rPr>
          <w:rFonts w:ascii="Times New Roman" w:hAnsi="Times New Roman"/>
          <w:color w:val="282828"/>
          <w:sz w:val="22"/>
        </w:rPr>
        <w:t>HTML5 Canvas-rendered Chart.js components render multi-series inventory trends. The charts visually differentiate whole blood from components, display depletion velocity curves, and project stock run-out thresholds for blood bank administrators.</w:t>
      </w:r>
    </w:p>
    <w:p>
      <w:pPr>
        <w:spacing w:after="120" w:line="276" w:lineRule="auto"/>
      </w:pPr>
      <w:r>
        <w:rPr>
          <w:rFonts w:ascii="Times New Roman" w:hAnsi="Times New Roman"/>
          <w:b/>
          <w:color w:val="282828"/>
          <w:sz w:val="22"/>
        </w:rPr>
        <w:t xml:space="preserve">Progressive Web App (PWA) &amp; Multi-Lingual Engine: </w:t>
      </w:r>
      <w:r>
        <w:rPr>
          <w:rFonts w:ascii="Times New Roman" w:hAnsi="Times New Roman"/>
          <w:color w:val="282828"/>
          <w:sz w:val="22"/>
        </w:rPr>
        <w:t>Raktsetu includes a Service Worker, a web app manifest, and offline caching strategies. In disaster scenarios or rural clinics with intermittent cellular connectivity, users can still access the last cached state of blood inventory. Furthermore, the UI includes a native tri-lingual dictionary allowing instant switching between English, Hindi (हिंदी), and Gujarati (ગુજરાતી) without reloading the page.</w:t>
      </w:r>
    </w:p>
    <w:p>
      <w:pPr>
        <w:keepNext/>
        <w:spacing w:before="240" w:after="120"/>
      </w:pPr>
      <w:r>
        <w:rPr>
          <w:rFonts w:ascii="Times New Roman" w:hAnsi="Times New Roman"/>
          <w:b/>
          <w:color w:val="1B365D"/>
          <w:sz w:val="27"/>
        </w:rPr>
        <w:t>2.2 Back-End &amp; Data Engineering Stack</w:t>
      </w:r>
    </w:p>
    <w:p>
      <w:pPr>
        <w:spacing w:after="120" w:line="276" w:lineRule="auto"/>
      </w:pPr>
      <w:r>
        <w:rPr>
          <w:rFonts w:ascii="Times New Roman" w:hAnsi="Times New Roman"/>
          <w:color w:val="282828"/>
          <w:sz w:val="22"/>
        </w:rPr>
        <w:t>Raktsetu's data infrastructure is designed as an analytical Lakehouse capable of ingesting semi-structured public health data, executing complex SQL transformations, and serving high-frequency REST queries with near-zero latency.</w:t>
      </w:r>
    </w:p>
    <w:p>
      <w:pPr>
        <w:spacing w:after="120" w:line="276" w:lineRule="auto"/>
      </w:pPr>
      <w:r>
        <w:rPr>
          <w:rFonts w:ascii="Times New Roman" w:hAnsi="Times New Roman"/>
          <w:b/>
          <w:color w:val="282828"/>
          <w:sz w:val="22"/>
        </w:rPr>
        <w:t xml:space="preserve">Python 3.12 &amp; uv: </w:t>
      </w:r>
      <w:r>
        <w:rPr>
          <w:rFonts w:ascii="Times New Roman" w:hAnsi="Times New Roman"/>
          <w:color w:val="282828"/>
          <w:sz w:val="22"/>
        </w:rPr>
        <w:t>The environment runs on Python 3.12, utilizing 'uv'—a cutting-edge package manager written in Rust. Package resolution that traditionally requires minutes with legacy pip completes in under 200 milliseconds, ensuring rapid, deterministic continuous integration and local development.</w:t>
      </w:r>
    </w:p>
    <w:p>
      <w:pPr>
        <w:spacing w:after="120" w:line="276" w:lineRule="auto"/>
      </w:pPr>
      <w:r>
        <w:rPr>
          <w:rFonts w:ascii="Times New Roman" w:hAnsi="Times New Roman"/>
          <w:b/>
          <w:color w:val="282828"/>
          <w:sz w:val="22"/>
        </w:rPr>
        <w:t xml:space="preserve">Asynchronous Scraping Engine: </w:t>
      </w:r>
      <w:r>
        <w:rPr>
          <w:rFonts w:ascii="Times New Roman" w:hAnsi="Times New Roman"/>
          <w:color w:val="282828"/>
          <w:sz w:val="22"/>
        </w:rPr>
        <w:t>Data extraction is managed by an asynchronous web scraper built with aiohttp and asyncio. Unlike brittle monolithic scrapers, Raktsetu's scraper implements intelligent pacing, non-blocking HTTP session pooling, exponential backoff with jitter, and automatic character-set fallback detection. It reliably scrapes national inventory endpoints across 36 states and union territories without overloading source servers.</w:t>
      </w:r>
    </w:p>
    <w:p>
      <w:pPr>
        <w:spacing w:after="120" w:line="276" w:lineRule="auto"/>
      </w:pPr>
      <w:r>
        <w:rPr>
          <w:rFonts w:ascii="Times New Roman" w:hAnsi="Times New Roman"/>
          <w:b/>
          <w:color w:val="282828"/>
          <w:sz w:val="22"/>
        </w:rPr>
        <w:t xml:space="preserve">DuckDB Columnar Lakehouse: </w:t>
      </w:r>
      <w:r>
        <w:rPr>
          <w:rFonts w:ascii="Times New Roman" w:hAnsi="Times New Roman"/>
          <w:color w:val="282828"/>
          <w:sz w:val="22"/>
        </w:rPr>
        <w:t>At the core of the lakehouse lies DuckDB, an embedded analytical database engine optimized for vectorized query execution on columnar data. DuckDB provides columnar compression, multi-threaded parallel execution, and zero-network overhead because it runs directly within the application process. Aggregating 100,000+ national inventory records across 700+ districts executes in less than 15 milliseconds.</w:t>
      </w:r>
    </w:p>
    <w:p>
      <w:pPr>
        <w:spacing w:after="120" w:line="276" w:lineRule="auto"/>
      </w:pPr>
      <w:r>
        <w:rPr>
          <w:rFonts w:ascii="Times New Roman" w:hAnsi="Times New Roman"/>
          <w:b/>
          <w:color w:val="282828"/>
          <w:sz w:val="22"/>
        </w:rPr>
        <w:t xml:space="preserve">dbt Core Medallion Architecture: </w:t>
      </w:r>
      <w:r>
        <w:rPr>
          <w:rFonts w:ascii="Times New Roman" w:hAnsi="Times New Roman"/>
          <w:color w:val="282828"/>
          <w:sz w:val="22"/>
        </w:rPr>
        <w:t>Raktsetu strictly implements the industry-standard Medallion Lakehouse pattern using dbt Core and the dbt-duckdb adapter:</w:t>
      </w:r>
    </w:p>
    <w:p>
      <w:pPr>
        <w:pStyle w:val="ListParagraph"/>
        <w:spacing w:after="80" w:line="276" w:lineRule="auto"/>
      </w:pPr>
      <w:r>
        <w:rPr>
          <w:rFonts w:ascii="Times New Roman" w:hAnsi="Times New Roman"/>
          <w:b/>
          <w:color w:val="282828"/>
          <w:sz w:val="22"/>
        </w:rPr>
        <w:t xml:space="preserve">• Bronze: </w:t>
      </w:r>
      <w:r>
        <w:rPr>
          <w:rFonts w:ascii="Times New Roman" w:hAnsi="Times New Roman"/>
          <w:color w:val="282828"/>
          <w:sz w:val="22"/>
        </w:rPr>
        <w:t>Bronze Layer: Raw, append-only staging table (bronze.raw_blood_inventory) preserving the exact raw payload and ingest timestamp.</w:t>
      </w:r>
    </w:p>
    <w:p>
      <w:pPr>
        <w:pStyle w:val="ListParagraph"/>
        <w:spacing w:after="80" w:line="276" w:lineRule="auto"/>
      </w:pPr>
      <w:r>
        <w:rPr>
          <w:rFonts w:ascii="Times New Roman" w:hAnsi="Times New Roman"/>
          <w:b/>
          <w:color w:val="282828"/>
          <w:sz w:val="22"/>
        </w:rPr>
        <w:t xml:space="preserve">• Silver: </w:t>
      </w:r>
      <w:r>
        <w:rPr>
          <w:rFonts w:ascii="Times New Roman" w:hAnsi="Times New Roman"/>
          <w:color w:val="282828"/>
          <w:sz w:val="22"/>
        </w:rPr>
        <w:t>Silver Layer: Cleaned, type-casted, and deduplicated tables (silver.stg_blood_banks, silver.stg_inventory_components). Cleanses phone numbers, fixes geocoordinates, and strips invalid characters.</w:t>
      </w:r>
    </w:p>
    <w:p>
      <w:pPr>
        <w:pStyle w:val="ListParagraph"/>
        <w:spacing w:after="80" w:line="276" w:lineRule="auto"/>
      </w:pPr>
      <w:r>
        <w:rPr>
          <w:rFonts w:ascii="Times New Roman" w:hAnsi="Times New Roman"/>
          <w:b/>
          <w:color w:val="282828"/>
          <w:sz w:val="22"/>
        </w:rPr>
        <w:t xml:space="preserve">• Gold: </w:t>
      </w:r>
      <w:r>
        <w:rPr>
          <w:rFonts w:ascii="Times New Roman" w:hAnsi="Times New Roman"/>
          <w:color w:val="282828"/>
          <w:sz w:val="22"/>
        </w:rPr>
        <w:t>Gold Layer: Star-schema analytical marts (gold.dim_blood_banks, gold.fct_stock_current, gold.mart_reliability_score, gold.mart_district_status, gold.mart_stock_change). Pre-computes clinical KPIs and emergency rankings.</w:t>
      </w:r>
    </w:p>
    <w:p>
      <w:pPr>
        <w:spacing w:after="120" w:line="276" w:lineRule="auto"/>
      </w:pPr>
      <w:r>
        <w:rPr>
          <w:rFonts w:ascii="Times New Roman" w:hAnsi="Times New Roman"/>
          <w:b/>
          <w:color w:val="282828"/>
          <w:sz w:val="22"/>
        </w:rPr>
        <w:t xml:space="preserve">Dual-Database Quality Gate: </w:t>
      </w:r>
      <w:r>
        <w:rPr>
          <w:rFonts w:ascii="Times New Roman" w:hAnsi="Times New Roman"/>
          <w:color w:val="282828"/>
          <w:sz w:val="22"/>
        </w:rPr>
        <w:t>A critical engineering innovation in Raktsetu is the Dual-Database Quality Gate. All scraping and dbt transformations occur inside an isolated build database (blood_warehouse.duckdb). Before promoting the newly transformed data to the production query layer (serving.duckdb), the pipeline executes rigorous dbt data tests and Python invariant checks (verifying non-null primary keys, valid stock counts &gt;= 0, and non-empty facility registries). Only when all tests pass is the database atomically promoted, guaranteeing that the public API never encounters partially written or corrupted states.</w:t>
      </w:r>
    </w:p>
    <w:p>
      <w:pPr>
        <w:spacing w:after="120" w:line="276" w:lineRule="auto"/>
      </w:pPr>
      <w:r>
        <w:rPr>
          <w:rFonts w:ascii="Times New Roman" w:hAnsi="Times New Roman"/>
          <w:b/>
          <w:color w:val="282828"/>
          <w:sz w:val="22"/>
        </w:rPr>
        <w:t xml:space="preserve">FastAPI REST Microservice: </w:t>
      </w:r>
      <w:r>
        <w:rPr>
          <w:rFonts w:ascii="Times New Roman" w:hAnsi="Times New Roman"/>
          <w:color w:val="282828"/>
          <w:sz w:val="22"/>
        </w:rPr>
        <w:t>The analytical endpoints are exposed through FastAPI, an asynchronous, high-concurrency Python web framework based on Starlette and Pydantic. Endpoints automatically generate interactive OpenAPI 3.1 documentation, enforce strict data validation, and respond with average latencies under 12ms.</w:t>
      </w:r>
    </w:p>
    <w:p>
      <w:pPr>
        <w:keepNext/>
        <w:spacing w:before="240" w:after="120"/>
      </w:pPr>
      <w:r>
        <w:rPr>
          <w:rFonts w:ascii="Times New Roman" w:hAnsi="Times New Roman"/>
          <w:b/>
          <w:color w:val="1B365D"/>
          <w:sz w:val="27"/>
        </w:rPr>
        <w:t>2.3 Medical Transfusion Standards &amp; Clinical Safety Rules</w:t>
      </w:r>
    </w:p>
    <w:p>
      <w:pPr>
        <w:spacing w:after="120" w:line="276" w:lineRule="auto"/>
      </w:pPr>
      <w:r>
        <w:rPr>
          <w:rFonts w:ascii="Times New Roman" w:hAnsi="Times New Roman"/>
          <w:color w:val="282828"/>
          <w:sz w:val="22"/>
        </w:rPr>
        <w:t>Automated blood inventory systems must adhere strictly to medical transfusion rules to prevent life-threatening hemolytic transfusion reactions. Raktsetu incorporates the official protocols of the National Blood Transfusion Council (NBTC) and the World Health Organization (WHO):</w:t>
      </w:r>
    </w:p>
    <w:p>
      <w:pPr>
        <w:pStyle w:val="ListParagraph"/>
        <w:spacing w:after="80" w:line="276" w:lineRule="auto"/>
      </w:pPr>
      <w:r>
        <w:rPr>
          <w:rFonts w:ascii="Times New Roman" w:hAnsi="Times New Roman"/>
          <w:b/>
          <w:color w:val="282828"/>
          <w:sz w:val="22"/>
        </w:rPr>
        <w:t xml:space="preserve">ABO/Rh Compatibility: </w:t>
      </w:r>
      <w:r>
        <w:rPr>
          <w:rFonts w:ascii="Times New Roman" w:hAnsi="Times New Roman"/>
          <w:color w:val="282828"/>
          <w:sz w:val="22"/>
        </w:rPr>
        <w:t>O-negative whole blood is recognized as the universal donor in acute trauma; AB-positive is recognized as the universal recipient.</w:t>
      </w:r>
    </w:p>
    <w:p>
      <w:pPr>
        <w:pStyle w:val="ListParagraph"/>
        <w:spacing w:after="80" w:line="276" w:lineRule="auto"/>
      </w:pPr>
      <w:r>
        <w:rPr>
          <w:rFonts w:ascii="Times New Roman" w:hAnsi="Times New Roman"/>
          <w:b/>
          <w:color w:val="282828"/>
          <w:sz w:val="22"/>
        </w:rPr>
        <w:t xml:space="preserve">Component Reciprocity: </w:t>
      </w:r>
      <w:r>
        <w:rPr>
          <w:rFonts w:ascii="Times New Roman" w:hAnsi="Times New Roman"/>
          <w:color w:val="282828"/>
          <w:sz w:val="22"/>
        </w:rPr>
        <w:t>Plasma compatibility is reciprocal to red cell compatibility (AB plasma is universal donor; O plasma is universal recipient).</w:t>
      </w:r>
    </w:p>
    <w:p>
      <w:pPr>
        <w:pStyle w:val="ListParagraph"/>
        <w:spacing w:after="80" w:line="276" w:lineRule="auto"/>
      </w:pPr>
      <w:r>
        <w:rPr>
          <w:rFonts w:ascii="Times New Roman" w:hAnsi="Times New Roman"/>
          <w:b/>
          <w:color w:val="282828"/>
          <w:sz w:val="22"/>
        </w:rPr>
        <w:t xml:space="preserve">Bombay Blood Group Safety: </w:t>
      </w:r>
      <w:r>
        <w:rPr>
          <w:rFonts w:ascii="Times New Roman" w:hAnsi="Times New Roman"/>
          <w:color w:val="282828"/>
          <w:sz w:val="22"/>
        </w:rPr>
        <w:t>The extremely rare Bombay Phenotype (Oh) is strictly isolated. Bombay individuals can receive blood ONLY from another Bombay donor.</w:t>
      </w:r>
    </w:p>
    <w:p>
      <w:pPr>
        <w:spacing w:after="120" w:line="276" w:lineRule="auto"/>
      </w:pPr>
      <w:r>
        <w:rPr>
          <w:rFonts w:ascii="Times New Roman" w:hAnsi="Times New Roman"/>
          <w:b/>
          <w:color w:val="282828"/>
          <w:sz w:val="22"/>
        </w:rPr>
        <w:t xml:space="preserve">The 3-Pillar Reliability Score Formula: </w:t>
      </w:r>
      <w:r>
        <w:rPr>
          <w:rFonts w:ascii="Times New Roman" w:hAnsi="Times New Roman"/>
          <w:color w:val="282828"/>
          <w:sz w:val="22"/>
        </w:rPr>
        <w:t>To eliminate the peril of attendants visiting blood banks with outdated stock, Raktsetu computes an objective 3-Pillar Facility Trust Score (0 to 100):</w:t>
      </w:r>
    </w:p>
    <w:p>
      <w:pPr>
        <w:pStyle w:val="ListParagraph"/>
        <w:spacing w:after="80" w:line="276" w:lineRule="auto"/>
      </w:pPr>
      <w:r>
        <w:rPr>
          <w:rFonts w:ascii="Times New Roman" w:hAnsi="Times New Roman"/>
          <w:b/>
          <w:color w:val="282828"/>
          <w:sz w:val="22"/>
        </w:rPr>
        <w:t xml:space="preserve">1. Freshness Pillar (Weight: 40%): </w:t>
      </w:r>
      <w:r>
        <w:rPr>
          <w:rFonts w:ascii="Times New Roman" w:hAnsi="Times New Roman"/>
          <w:color w:val="282828"/>
          <w:sz w:val="22"/>
        </w:rPr>
        <w:t>Scores the elapsed time since the facility last updated its records. Updates within 24 hours score 100; updates 24–48 hours score 80; updates &gt; 7 days score 20.</w:t>
      </w:r>
    </w:p>
    <w:p>
      <w:pPr>
        <w:pStyle w:val="ListParagraph"/>
        <w:spacing w:after="80" w:line="276" w:lineRule="auto"/>
      </w:pPr>
      <w:r>
        <w:rPr>
          <w:rFonts w:ascii="Times New Roman" w:hAnsi="Times New Roman"/>
          <w:b/>
          <w:color w:val="282828"/>
          <w:sz w:val="22"/>
        </w:rPr>
        <w:t xml:space="preserve">2. Completeness Pillar (Weight: 35%): </w:t>
      </w:r>
      <w:r>
        <w:rPr>
          <w:rFonts w:ascii="Times New Roman" w:hAnsi="Times New Roman"/>
          <w:color w:val="282828"/>
          <w:sz w:val="22"/>
        </w:rPr>
        <w:t>Scores whether the facility reports all 8 ABO/Rh blood groups across separated components (PRBC, FFP, Platelets) rather than reporting zero or unseparated data.</w:t>
      </w:r>
    </w:p>
    <w:p>
      <w:pPr>
        <w:pStyle w:val="ListParagraph"/>
        <w:spacing w:after="80" w:line="276" w:lineRule="auto"/>
      </w:pPr>
      <w:r>
        <w:rPr>
          <w:rFonts w:ascii="Times New Roman" w:hAnsi="Times New Roman"/>
          <w:b/>
          <w:color w:val="282828"/>
          <w:sz w:val="22"/>
        </w:rPr>
        <w:t xml:space="preserve">3. Frequency Pillar (Weight: 25%): </w:t>
      </w:r>
      <w:r>
        <w:rPr>
          <w:rFonts w:ascii="Times New Roman" w:hAnsi="Times New Roman"/>
          <w:color w:val="282828"/>
          <w:sz w:val="22"/>
        </w:rPr>
        <w:t>Scores the regular cadence of updates over a rolling 30-day window, rewarding blood centers that maintain consistent operational discipline.</w:t>
      </w:r>
    </w:p>
    <w:p>
      <w:pPr>
        <w:spacing w:before="120" w:after="160"/>
        <w:jc w:val="center"/>
      </w:pPr>
      <w:r>
        <w:rPr>
          <w:rFonts w:ascii="Times New Roman" w:hAnsi="Times New Roman"/>
          <w:b/>
          <w:color w:val="1B365D"/>
          <w:sz w:val="23"/>
        </w:rPr>
        <w:t>Trust Score = (0.40 × Freshness) + (0.35 × Completeness) + (0.25 × Frequency)</w:t>
      </w:r>
    </w:p>
    <w:p>
      <w:r>
        <w:br w:type="page"/>
      </w:r>
    </w:p>
    <w:p>
      <w:pPr>
        <w:keepNext/>
        <w:spacing w:before="320" w:after="160"/>
      </w:pPr>
      <w:r>
        <w:rPr>
          <w:rFonts w:ascii="Times New Roman" w:hAnsi="Times New Roman"/>
          <w:b/>
          <w:color w:val="C00000"/>
          <w:sz w:val="32"/>
        </w:rPr>
        <w:t>CHAPTER 3: SYSTEM STUDY</w:t>
      </w:r>
    </w:p>
    <w:p>
      <w:pPr>
        <w:keepNext/>
        <w:spacing w:before="240" w:after="120"/>
      </w:pPr>
      <w:r>
        <w:rPr>
          <w:rFonts w:ascii="Times New Roman" w:hAnsi="Times New Roman"/>
          <w:b/>
          <w:color w:val="1B365D"/>
          <w:sz w:val="27"/>
        </w:rPr>
        <w:t>3.1 Existing System Limitations</w:t>
      </w:r>
    </w:p>
    <w:p>
      <w:pPr>
        <w:spacing w:after="120" w:line="276" w:lineRule="auto"/>
      </w:pPr>
      <w:r>
        <w:rPr>
          <w:rFonts w:ascii="Times New Roman" w:hAnsi="Times New Roman"/>
          <w:color w:val="282828"/>
          <w:sz w:val="22"/>
        </w:rPr>
        <w:t>A rigorous empirical analysis of the existing eRaktKosh national blood portal reveals profound operational and technical bottlenecks:</w:t>
      </w:r>
    </w:p>
    <w:p>
      <w:pPr>
        <w:pStyle w:val="ListParagraph"/>
        <w:spacing w:after="80" w:line="276" w:lineRule="auto"/>
      </w:pPr>
      <w:r>
        <w:rPr>
          <w:rFonts w:ascii="Times New Roman" w:hAnsi="Times New Roman"/>
          <w:b/>
          <w:color w:val="282828"/>
          <w:sz w:val="22"/>
        </w:rPr>
        <w:t xml:space="preserve">1. Static Phone-Book Paradigm: </w:t>
      </w:r>
      <w:r>
        <w:rPr>
          <w:rFonts w:ascii="Times New Roman" w:hAnsi="Times New Roman"/>
          <w:color w:val="282828"/>
          <w:sz w:val="22"/>
        </w:rPr>
        <w:t>The current portal presents a flat list of facilities without indicating whether the reported units reflect current physical inventory or records logged weeks ago.</w:t>
      </w:r>
    </w:p>
    <w:p>
      <w:pPr>
        <w:pStyle w:val="ListParagraph"/>
        <w:spacing w:after="80" w:line="276" w:lineRule="auto"/>
      </w:pPr>
      <w:r>
        <w:rPr>
          <w:rFonts w:ascii="Times New Roman" w:hAnsi="Times New Roman"/>
          <w:b/>
          <w:color w:val="282828"/>
          <w:sz w:val="22"/>
        </w:rPr>
        <w:t xml:space="preserve">2. Severe Stock Staleness: </w:t>
      </w:r>
      <w:r>
        <w:rPr>
          <w:rFonts w:ascii="Times New Roman" w:hAnsi="Times New Roman"/>
          <w:color w:val="282828"/>
          <w:sz w:val="22"/>
        </w:rPr>
        <w:t>Blood centers update inventory erratically. Many listings display blood units that were already cross-matched and transfused days prior, leading to dangerous wild-goose chases during critical medical emergencies.</w:t>
      </w:r>
    </w:p>
    <w:p>
      <w:pPr>
        <w:pStyle w:val="ListParagraph"/>
        <w:spacing w:after="80" w:line="276" w:lineRule="auto"/>
      </w:pPr>
      <w:r>
        <w:rPr>
          <w:rFonts w:ascii="Times New Roman" w:hAnsi="Times New Roman"/>
          <w:b/>
          <w:color w:val="282828"/>
          <w:sz w:val="22"/>
        </w:rPr>
        <w:t xml:space="preserve">3. Scraping Brittleness &amp; Regex Failures: </w:t>
      </w:r>
      <w:r>
        <w:rPr>
          <w:rFonts w:ascii="Times New Roman" w:hAnsi="Times New Roman"/>
          <w:color w:val="282828"/>
          <w:sz w:val="22"/>
        </w:rPr>
        <w:t>Many existing scraping tools fail due to rigid regular expressions that crash whenever the underlying HTML table layout changes or character encodings vary across states.</w:t>
      </w:r>
    </w:p>
    <w:p>
      <w:pPr>
        <w:pStyle w:val="ListParagraph"/>
        <w:spacing w:after="80" w:line="276" w:lineRule="auto"/>
      </w:pPr>
      <w:r>
        <w:rPr>
          <w:rFonts w:ascii="Times New Roman" w:hAnsi="Times New Roman"/>
          <w:b/>
          <w:color w:val="282828"/>
          <w:sz w:val="22"/>
        </w:rPr>
        <w:t xml:space="preserve">4. Zero Clinical Compatibility Triage: </w:t>
      </w:r>
      <w:r>
        <w:rPr>
          <w:rFonts w:ascii="Times New Roman" w:hAnsi="Times New Roman"/>
          <w:color w:val="282828"/>
          <w:sz w:val="22"/>
        </w:rPr>
        <w:t>The existing portal forces users to select a single blood group without evaluating clinical compatibility. A patient needing B+ red cells who could safely receive O+ or O- is not guided toward compatible alternatives.</w:t>
      </w:r>
    </w:p>
    <w:p>
      <w:pPr>
        <w:pStyle w:val="ListParagraph"/>
        <w:spacing w:after="80" w:line="276" w:lineRule="auto"/>
      </w:pPr>
      <w:r>
        <w:rPr>
          <w:rFonts w:ascii="Times New Roman" w:hAnsi="Times New Roman"/>
          <w:b/>
          <w:color w:val="282828"/>
          <w:sz w:val="22"/>
        </w:rPr>
        <w:t xml:space="preserve">5. Absence of Regional Deficit Analytics: </w:t>
      </w:r>
      <w:r>
        <w:rPr>
          <w:rFonts w:ascii="Times New Roman" w:hAnsi="Times New Roman"/>
          <w:color w:val="282828"/>
          <w:sz w:val="22"/>
        </w:rPr>
        <w:t>State and district health officers have no centralized macro-level intelligence identifying districts facing severe blood shortages or impending platelet stock-outs.</w:t>
      </w:r>
    </w:p>
    <w:p>
      <w:pPr>
        <w:pStyle w:val="ListParagraph"/>
        <w:spacing w:after="80" w:line="276" w:lineRule="auto"/>
      </w:pPr>
      <w:r>
        <w:rPr>
          <w:rFonts w:ascii="Times New Roman" w:hAnsi="Times New Roman"/>
          <w:b/>
          <w:color w:val="282828"/>
          <w:sz w:val="22"/>
        </w:rPr>
        <w:t xml:space="preserve">6. Lack of Historical Depletion Velocity: </w:t>
      </w:r>
      <w:r>
        <w:rPr>
          <w:rFonts w:ascii="Times New Roman" w:hAnsi="Times New Roman"/>
          <w:color w:val="282828"/>
          <w:sz w:val="22"/>
        </w:rPr>
        <w:t>The existing system provides zero historical tracking, preventing users and administrators from knowing whether an inventory figure represents a healthy growing supply or a rapidly depleting stockpile.</w:t>
      </w:r>
    </w:p>
    <w:p>
      <w:pPr>
        <w:keepNext/>
        <w:spacing w:before="240" w:after="120"/>
      </w:pPr>
      <w:r>
        <w:rPr>
          <w:rFonts w:ascii="Times New Roman" w:hAnsi="Times New Roman"/>
          <w:b/>
          <w:color w:val="1B365D"/>
          <w:sz w:val="27"/>
        </w:rPr>
        <w:t>3.2 Proposed System Architecture &amp; Core Innovations</w:t>
      </w:r>
    </w:p>
    <w:p>
      <w:pPr>
        <w:spacing w:after="120" w:line="276" w:lineRule="auto"/>
      </w:pPr>
      <w:r>
        <w:rPr>
          <w:rFonts w:ascii="Times New Roman" w:hAnsi="Times New Roman"/>
          <w:color w:val="282828"/>
          <w:sz w:val="22"/>
        </w:rPr>
        <w:t>Raktsetu resolves every structural deficiency of the existing portal by introducing an intelligent, clinical-grade decision platform:</w:t>
      </w:r>
    </w:p>
    <w:p>
      <w:pPr>
        <w:pStyle w:val="ListParagraph"/>
        <w:spacing w:after="80" w:line="276" w:lineRule="auto"/>
      </w:pPr>
      <w:r>
        <w:rPr>
          <w:rFonts w:ascii="Times New Roman" w:hAnsi="Times New Roman"/>
          <w:b/>
          <w:color w:val="282828"/>
          <w:sz w:val="22"/>
        </w:rPr>
        <w:t xml:space="preserve">1. Medallion Analytical Lakehouse: </w:t>
      </w:r>
      <w:r>
        <w:rPr>
          <w:rFonts w:ascii="Times New Roman" w:hAnsi="Times New Roman"/>
          <w:color w:val="282828"/>
          <w:sz w:val="22"/>
        </w:rPr>
        <w:t>Replaces flat CSVs and ad-hoc scripts with a formal 3-tier Medallion Lakehouse powered by DuckDB and dbt Core, guaranteeing data cleanliness and relational integrity.</w:t>
      </w:r>
    </w:p>
    <w:p>
      <w:pPr>
        <w:pStyle w:val="ListParagraph"/>
        <w:spacing w:after="80" w:line="276" w:lineRule="auto"/>
      </w:pPr>
      <w:r>
        <w:rPr>
          <w:rFonts w:ascii="Times New Roman" w:hAnsi="Times New Roman"/>
          <w:b/>
          <w:color w:val="282828"/>
          <w:sz w:val="22"/>
        </w:rPr>
        <w:t xml:space="preserve">2. 3-Pillar Facility Trust Engine: </w:t>
      </w:r>
      <w:r>
        <w:rPr>
          <w:rFonts w:ascii="Times New Roman" w:hAnsi="Times New Roman"/>
          <w:color w:val="282828"/>
          <w:sz w:val="22"/>
        </w:rPr>
        <w:t>Ranks blood centers based on an algorithmic evaluation of update freshness, data completeness, and update consistency, allowing citizens to prioritize reliable centers.</w:t>
      </w:r>
    </w:p>
    <w:p>
      <w:pPr>
        <w:pStyle w:val="ListParagraph"/>
        <w:spacing w:after="80" w:line="276" w:lineRule="auto"/>
      </w:pPr>
      <w:r>
        <w:rPr>
          <w:rFonts w:ascii="Times New Roman" w:hAnsi="Times New Roman"/>
          <w:b/>
          <w:color w:val="282828"/>
          <w:sz w:val="22"/>
        </w:rPr>
        <w:t xml:space="preserve">3. Smart Emergency Call List: </w:t>
      </w:r>
      <w:r>
        <w:rPr>
          <w:rFonts w:ascii="Times New Roman" w:hAnsi="Times New Roman"/>
          <w:color w:val="282828"/>
          <w:sz w:val="22"/>
        </w:rPr>
        <w:t>Automatically filters and sorts blood centers by available compatible units, direct facility telephone numbers, and real-time reliability tier, giving attendants a 1-click prioritized calling sequence.</w:t>
      </w:r>
    </w:p>
    <w:p>
      <w:pPr>
        <w:pStyle w:val="ListParagraph"/>
        <w:spacing w:after="80" w:line="276" w:lineRule="auto"/>
      </w:pPr>
      <w:r>
        <w:rPr>
          <w:rFonts w:ascii="Times New Roman" w:hAnsi="Times New Roman"/>
          <w:b/>
          <w:color w:val="282828"/>
          <w:sz w:val="22"/>
        </w:rPr>
        <w:t xml:space="preserve">4. Geospatial Intelligence &amp; Mapping: </w:t>
      </w:r>
      <w:r>
        <w:rPr>
          <w:rFonts w:ascii="Times New Roman" w:hAnsi="Times New Roman"/>
          <w:color w:val="282828"/>
          <w:sz w:val="22"/>
        </w:rPr>
        <w:t>An interactive Leaflet/Carto map displays color-coded facility pins, radius search, and turn-by-turn routing directly from the hospital bedside.</w:t>
      </w:r>
    </w:p>
    <w:p>
      <w:pPr>
        <w:pStyle w:val="ListParagraph"/>
        <w:spacing w:after="80" w:line="276" w:lineRule="auto"/>
      </w:pPr>
      <w:r>
        <w:rPr>
          <w:rFonts w:ascii="Times New Roman" w:hAnsi="Times New Roman"/>
          <w:b/>
          <w:color w:val="282828"/>
          <w:sz w:val="22"/>
        </w:rPr>
        <w:t xml:space="preserve">5. District Deficit Monitoring Mart: </w:t>
      </w:r>
      <w:r>
        <w:rPr>
          <w:rFonts w:ascii="Times New Roman" w:hAnsi="Times New Roman"/>
          <w:color w:val="282828"/>
          <w:sz w:val="22"/>
        </w:rPr>
        <w:t>Dedicated monitoring mart that flags critical deficits (&lt;10 units) and severe shortages across districts, enabling health officers to trigger inter-district rebalancing.</w:t>
      </w:r>
    </w:p>
    <w:p>
      <w:pPr>
        <w:pStyle w:val="ListParagraph"/>
        <w:spacing w:after="80" w:line="276" w:lineRule="auto"/>
      </w:pPr>
      <w:r>
        <w:rPr>
          <w:rFonts w:ascii="Times New Roman" w:hAnsi="Times New Roman"/>
          <w:b/>
          <w:color w:val="282828"/>
          <w:sz w:val="22"/>
        </w:rPr>
        <w:t xml:space="preserve">6. Rare Blood Radar: </w:t>
      </w:r>
      <w:r>
        <w:rPr>
          <w:rFonts w:ascii="Times New Roman" w:hAnsi="Times New Roman"/>
          <w:color w:val="282828"/>
          <w:sz w:val="22"/>
        </w:rPr>
        <w:t>A dedicated tracker identifying facilities stocking Bombay Phenotype (Oh), AB-negative, and O-negative units with automated safety isolation warnings.</w:t>
      </w:r>
    </w:p>
    <w:p>
      <w:pPr>
        <w:pStyle w:val="ListParagraph"/>
        <w:spacing w:after="80" w:line="276" w:lineRule="auto"/>
      </w:pPr>
      <w:r>
        <w:rPr>
          <w:rFonts w:ascii="Times New Roman" w:hAnsi="Times New Roman"/>
          <w:b/>
          <w:color w:val="282828"/>
          <w:sz w:val="22"/>
        </w:rPr>
        <w:t xml:space="preserve">7. 100% Private Donor Eligibility Calculator: </w:t>
      </w:r>
      <w:r>
        <w:rPr>
          <w:rFonts w:ascii="Times New Roman" w:hAnsi="Times New Roman"/>
          <w:color w:val="282828"/>
          <w:sz w:val="22"/>
        </w:rPr>
        <w:t>A completely private, client-side calculator evaluating donor eligibility based on age, weight, donation intervals, travel, and medications with zero server data storage.</w:t>
      </w:r>
    </w:p>
    <w:p>
      <w:pPr>
        <w:keepNext/>
        <w:spacing w:before="240" w:after="120"/>
      </w:pPr>
      <w:r>
        <w:rPr>
          <w:rFonts w:ascii="Times New Roman" w:hAnsi="Times New Roman"/>
          <w:b/>
          <w:color w:val="1B365D"/>
          <w:sz w:val="27"/>
        </w:rPr>
        <w:t>3.3 System Scope</w:t>
      </w:r>
    </w:p>
    <w:p>
      <w:pPr>
        <w:spacing w:after="120" w:line="276" w:lineRule="auto"/>
      </w:pPr>
      <w:r>
        <w:rPr>
          <w:rFonts w:ascii="Times New Roman" w:hAnsi="Times New Roman"/>
          <w:color w:val="282828"/>
          <w:sz w:val="22"/>
        </w:rPr>
        <w:t>The operational scope of Raktsetu encompasses three primary stakeholder tiers across the healthcare ecosystem:</w:t>
      </w:r>
    </w:p>
    <w:p>
      <w:pPr>
        <w:keepNext/>
        <w:spacing w:before="160" w:after="80"/>
      </w:pPr>
      <w:r>
        <w:rPr>
          <w:rFonts w:ascii="Times New Roman" w:hAnsi="Times New Roman"/>
          <w:b/>
          <w:color w:val="282828"/>
          <w:sz w:val="24"/>
        </w:rPr>
        <w:t>1. Citizen &amp; Emergency Patient Scope:</w:t>
      </w:r>
    </w:p>
    <w:p>
      <w:pPr>
        <w:pStyle w:val="ListParagraph"/>
        <w:spacing w:after="80" w:line="276" w:lineRule="auto"/>
      </w:pPr>
      <w:r>
        <w:rPr>
          <w:rFonts w:ascii="Times New Roman" w:hAnsi="Times New Roman"/>
          <w:color w:val="282828"/>
          <w:sz w:val="22"/>
        </w:rPr>
        <w:t>Instant geolocation-based discovery of compatible blood components within a customizable radius.</w:t>
      </w:r>
    </w:p>
    <w:p>
      <w:pPr>
        <w:pStyle w:val="ListParagraph"/>
        <w:spacing w:after="80" w:line="276" w:lineRule="auto"/>
      </w:pPr>
      <w:r>
        <w:rPr>
          <w:rFonts w:ascii="Times New Roman" w:hAnsi="Times New Roman"/>
          <w:color w:val="282828"/>
          <w:sz w:val="22"/>
        </w:rPr>
        <w:t>Access to the Smart Emergency Call List with direct telephonic dialing and verified facility hours.</w:t>
      </w:r>
    </w:p>
    <w:p>
      <w:pPr>
        <w:pStyle w:val="ListParagraph"/>
        <w:spacing w:after="80" w:line="276" w:lineRule="auto"/>
      </w:pPr>
      <w:r>
        <w:rPr>
          <w:rFonts w:ascii="Times New Roman" w:hAnsi="Times New Roman"/>
          <w:color w:val="282828"/>
          <w:sz w:val="22"/>
        </w:rPr>
        <w:t>Private donor eligibility pre-screening and navigation to voluntary blood donation camps.</w:t>
      </w:r>
    </w:p>
    <w:p>
      <w:pPr>
        <w:keepNext/>
        <w:spacing w:before="160" w:after="80"/>
      </w:pPr>
      <w:r>
        <w:rPr>
          <w:rFonts w:ascii="Times New Roman" w:hAnsi="Times New Roman"/>
          <w:b/>
          <w:color w:val="282828"/>
          <w:sz w:val="24"/>
        </w:rPr>
        <w:t>2. Blood Bank &amp; Hospital Administration Scope:</w:t>
      </w:r>
    </w:p>
    <w:p>
      <w:pPr>
        <w:pStyle w:val="ListParagraph"/>
        <w:spacing w:after="80" w:line="276" w:lineRule="auto"/>
      </w:pPr>
      <w:r>
        <w:rPr>
          <w:rFonts w:ascii="Times New Roman" w:hAnsi="Times New Roman"/>
          <w:color w:val="282828"/>
          <w:sz w:val="22"/>
        </w:rPr>
        <w:t>Real-time visibility into neighboring facility stock to facilitate emergency inter-bank transfers.</w:t>
      </w:r>
    </w:p>
    <w:p>
      <w:pPr>
        <w:pStyle w:val="ListParagraph"/>
        <w:spacing w:after="80" w:line="276" w:lineRule="auto"/>
      </w:pPr>
      <w:r>
        <w:rPr>
          <w:rFonts w:ascii="Times New Roman" w:hAnsi="Times New Roman"/>
          <w:color w:val="282828"/>
          <w:sz w:val="22"/>
        </w:rPr>
        <w:t>Historical stock change and depletion velocity charts to guide component separation schedules.</w:t>
      </w:r>
    </w:p>
    <w:p>
      <w:pPr>
        <w:pStyle w:val="ListParagraph"/>
        <w:spacing w:after="80" w:line="276" w:lineRule="auto"/>
      </w:pPr>
      <w:r>
        <w:rPr>
          <w:rFonts w:ascii="Times New Roman" w:hAnsi="Times New Roman"/>
          <w:color w:val="282828"/>
          <w:sz w:val="22"/>
        </w:rPr>
        <w:t>Facility Trust Score diagnostic audit to identify areas for improving data reporting compliance.</w:t>
      </w:r>
    </w:p>
    <w:p>
      <w:pPr>
        <w:keepNext/>
        <w:spacing w:before="160" w:after="80"/>
      </w:pPr>
      <w:r>
        <w:rPr>
          <w:rFonts w:ascii="Times New Roman" w:hAnsi="Times New Roman"/>
          <w:b/>
          <w:color w:val="282828"/>
          <w:sz w:val="24"/>
        </w:rPr>
        <w:t>3. Public Health Authority &amp; State Disaster Management Scope:</w:t>
      </w:r>
    </w:p>
    <w:p>
      <w:pPr>
        <w:pStyle w:val="ListParagraph"/>
        <w:spacing w:after="80" w:line="276" w:lineRule="auto"/>
      </w:pPr>
      <w:r>
        <w:rPr>
          <w:rFonts w:ascii="Times New Roman" w:hAnsi="Times New Roman"/>
          <w:color w:val="282828"/>
          <w:sz w:val="22"/>
        </w:rPr>
        <w:t>Macro-level district deficit dashboards highlighting critical shortages before they escalate into emergencies.</w:t>
      </w:r>
    </w:p>
    <w:p>
      <w:pPr>
        <w:pStyle w:val="ListParagraph"/>
        <w:spacing w:after="80" w:line="276" w:lineRule="auto"/>
      </w:pPr>
      <w:r>
        <w:rPr>
          <w:rFonts w:ascii="Times New Roman" w:hAnsi="Times New Roman"/>
          <w:color w:val="282828"/>
          <w:sz w:val="22"/>
        </w:rPr>
        <w:t>Pipeline health and freshness monitoring guaranteeing 100% data auditability.</w:t>
      </w:r>
    </w:p>
    <w:p>
      <w:pPr>
        <w:pStyle w:val="ListParagraph"/>
        <w:spacing w:after="80" w:line="276" w:lineRule="auto"/>
      </w:pPr>
      <w:r>
        <w:rPr>
          <w:rFonts w:ascii="Times New Roman" w:hAnsi="Times New Roman"/>
          <w:color w:val="282828"/>
          <w:sz w:val="22"/>
        </w:rPr>
        <w:t>Historical consumption trends during seasonal dengue, malaria, and post-monsoon surges.</w:t>
      </w:r>
    </w:p>
    <w:p>
      <w:pPr>
        <w:keepNext/>
        <w:spacing w:before="240" w:after="120"/>
      </w:pPr>
      <w:r>
        <w:rPr>
          <w:rFonts w:ascii="Times New Roman" w:hAnsi="Times New Roman"/>
          <w:b/>
          <w:color w:val="1B365D"/>
          <w:sz w:val="27"/>
        </w:rPr>
        <w:t>3.4 Aim and Measurable Objectives</w:t>
      </w:r>
    </w:p>
    <w:p>
      <w:pPr>
        <w:spacing w:after="120" w:line="276" w:lineRule="auto"/>
      </w:pPr>
      <w:r>
        <w:rPr>
          <w:rFonts w:ascii="Times New Roman" w:hAnsi="Times New Roman"/>
          <w:b/>
          <w:color w:val="282828"/>
          <w:sz w:val="22"/>
        </w:rPr>
        <w:t xml:space="preserve">Project Aim: </w:t>
      </w:r>
      <w:r>
        <w:rPr>
          <w:rFonts w:ascii="Times New Roman" w:hAnsi="Times New Roman"/>
          <w:color w:val="282828"/>
          <w:sz w:val="22"/>
        </w:rPr>
        <w:t>The overarching aim of Raktsetu is to eliminate preventable morbidity and mortality arising from blood availability information asymmetry in India by transforming fragmented public health data into a high-trust, clinically actionable decision lakehouse.</w:t>
      </w:r>
    </w:p>
    <w:p>
      <w:pPr>
        <w:spacing w:after="120" w:line="276" w:lineRule="auto"/>
      </w:pPr>
      <w:r>
        <w:rPr>
          <w:rFonts w:ascii="Times New Roman" w:hAnsi="Times New Roman"/>
          <w:b/>
          <w:color w:val="282828"/>
          <w:sz w:val="22"/>
        </w:rPr>
        <w:t xml:space="preserve">Objectives: </w:t>
      </w:r>
      <w:r>
        <w:rPr>
          <w:rFonts w:ascii="Times New Roman" w:hAnsi="Times New Roman"/>
          <w:color w:val="282828"/>
          <w:sz w:val="22"/>
        </w:rPr>
        <w:t>To achieve this aim, the following 10 measurable engineering and clinical objectives were formulated and fulfilled:</w:t>
      </w:r>
    </w:p>
    <w:p>
      <w:pPr>
        <w:pStyle w:val="ListParagraph"/>
        <w:spacing w:after="80" w:line="276" w:lineRule="auto"/>
      </w:pPr>
      <w:r>
        <w:rPr>
          <w:rFonts w:ascii="Times New Roman" w:hAnsi="Times New Roman"/>
          <w:b/>
          <w:color w:val="282828"/>
          <w:sz w:val="22"/>
        </w:rPr>
        <w:t xml:space="preserve">1. High-Velocity Ingestion: </w:t>
      </w:r>
      <w:r>
        <w:rPr>
          <w:rFonts w:ascii="Times New Roman" w:hAnsi="Times New Roman"/>
          <w:color w:val="282828"/>
          <w:sz w:val="22"/>
        </w:rPr>
        <w:t>Engineer an asynchronous scraping engine capable of harvesting national inventory records across 36 states/UTs in under 60 seconds without server throttling.</w:t>
      </w:r>
    </w:p>
    <w:p>
      <w:pPr>
        <w:pStyle w:val="ListParagraph"/>
        <w:spacing w:after="80" w:line="276" w:lineRule="auto"/>
      </w:pPr>
      <w:r>
        <w:rPr>
          <w:rFonts w:ascii="Times New Roman" w:hAnsi="Times New Roman"/>
          <w:b/>
          <w:color w:val="282828"/>
          <w:sz w:val="22"/>
        </w:rPr>
        <w:t xml:space="preserve">2. Medallion Lakehouse: </w:t>
      </w:r>
      <w:r>
        <w:rPr>
          <w:rFonts w:ascii="Times New Roman" w:hAnsi="Times New Roman"/>
          <w:color w:val="282828"/>
          <w:sz w:val="22"/>
        </w:rPr>
        <w:t>Construct a 3-tier Medallion Lakehouse inside DuckDB managed by dbt Core with automated schema verification and data quality tests.</w:t>
      </w:r>
    </w:p>
    <w:p>
      <w:pPr>
        <w:pStyle w:val="ListParagraph"/>
        <w:spacing w:after="80" w:line="276" w:lineRule="auto"/>
      </w:pPr>
      <w:r>
        <w:rPr>
          <w:rFonts w:ascii="Times New Roman" w:hAnsi="Times New Roman"/>
          <w:b/>
          <w:color w:val="282828"/>
          <w:sz w:val="22"/>
        </w:rPr>
        <w:t xml:space="preserve">3. Dual-DB Quality Gate: </w:t>
      </w:r>
      <w:r>
        <w:rPr>
          <w:rFonts w:ascii="Times New Roman" w:hAnsi="Times New Roman"/>
          <w:color w:val="282828"/>
          <w:sz w:val="22"/>
        </w:rPr>
        <w:t>Implement a Dual-Database Quality Gate ensuring zero partially written or corrupted records ever reach the analytical serving layer.</w:t>
      </w:r>
    </w:p>
    <w:p>
      <w:pPr>
        <w:pStyle w:val="ListParagraph"/>
        <w:spacing w:after="80" w:line="276" w:lineRule="auto"/>
      </w:pPr>
      <w:r>
        <w:rPr>
          <w:rFonts w:ascii="Times New Roman" w:hAnsi="Times New Roman"/>
          <w:b/>
          <w:color w:val="282828"/>
          <w:sz w:val="22"/>
        </w:rPr>
        <w:t xml:space="preserve">4. Trust Score Algorithm: </w:t>
      </w:r>
      <w:r>
        <w:rPr>
          <w:rFonts w:ascii="Times New Roman" w:hAnsi="Times New Roman"/>
          <w:color w:val="282828"/>
          <w:sz w:val="22"/>
        </w:rPr>
        <w:t>Formulate and validate an objective 3-Pillar Facility Reliability Scoring algorithm evaluating freshness, completeness, and cadence.</w:t>
      </w:r>
    </w:p>
    <w:p>
      <w:pPr>
        <w:pStyle w:val="ListParagraph"/>
        <w:spacing w:after="80" w:line="276" w:lineRule="auto"/>
      </w:pPr>
      <w:r>
        <w:rPr>
          <w:rFonts w:ascii="Times New Roman" w:hAnsi="Times New Roman"/>
          <w:b/>
          <w:color w:val="282828"/>
          <w:sz w:val="22"/>
        </w:rPr>
        <w:t xml:space="preserve">5. Clinical Safety Rules: </w:t>
      </w:r>
      <w:r>
        <w:rPr>
          <w:rFonts w:ascii="Times New Roman" w:hAnsi="Times New Roman"/>
          <w:color w:val="282828"/>
          <w:sz w:val="22"/>
        </w:rPr>
        <w:t>Incorporate NBTC and WHO clinical transfusion safety rules, including universal donor fallbacks and Bombay Blood Group isolation.</w:t>
      </w:r>
    </w:p>
    <w:p>
      <w:pPr>
        <w:pStyle w:val="ListParagraph"/>
        <w:spacing w:after="80" w:line="276" w:lineRule="auto"/>
      </w:pPr>
      <w:r>
        <w:rPr>
          <w:rFonts w:ascii="Times New Roman" w:hAnsi="Times New Roman"/>
          <w:b/>
          <w:color w:val="282828"/>
          <w:sz w:val="22"/>
        </w:rPr>
        <w:t xml:space="preserve">6. Emergency Triage Engine: </w:t>
      </w:r>
      <w:r>
        <w:rPr>
          <w:rFonts w:ascii="Times New Roman" w:hAnsi="Times New Roman"/>
          <w:color w:val="282828"/>
          <w:sz w:val="22"/>
        </w:rPr>
        <w:t>Design and deploy the Smart Emergency Call List, prioritizing facilities by compatible units, trust tier, and contact readiness.</w:t>
      </w:r>
    </w:p>
    <w:p>
      <w:pPr>
        <w:pStyle w:val="ListParagraph"/>
        <w:spacing w:after="80" w:line="276" w:lineRule="auto"/>
      </w:pPr>
      <w:r>
        <w:rPr>
          <w:rFonts w:ascii="Times New Roman" w:hAnsi="Times New Roman"/>
          <w:b/>
          <w:color w:val="282828"/>
          <w:sz w:val="22"/>
        </w:rPr>
        <w:t xml:space="preserve">7. Geospatial Mapping: </w:t>
      </w:r>
      <w:r>
        <w:rPr>
          <w:rFonts w:ascii="Times New Roman" w:hAnsi="Times New Roman"/>
          <w:color w:val="282828"/>
          <w:sz w:val="22"/>
        </w:rPr>
        <w:t>Integrate an interactive geospatial map using Leaflet and Carto Positron with custom SVG markers and responsive facility details.</w:t>
      </w:r>
    </w:p>
    <w:p>
      <w:pPr>
        <w:pStyle w:val="ListParagraph"/>
        <w:spacing w:after="80" w:line="276" w:lineRule="auto"/>
      </w:pPr>
      <w:r>
        <w:rPr>
          <w:rFonts w:ascii="Times New Roman" w:hAnsi="Times New Roman"/>
          <w:b/>
          <w:color w:val="282828"/>
          <w:sz w:val="22"/>
        </w:rPr>
        <w:t xml:space="preserve">8. Private Donor Calculator: </w:t>
      </w:r>
      <w:r>
        <w:rPr>
          <w:rFonts w:ascii="Times New Roman" w:hAnsi="Times New Roman"/>
          <w:color w:val="282828"/>
          <w:sz w:val="22"/>
        </w:rPr>
        <w:t>Build a 100% private client-side donor eligibility calculator enforcing WHO donor selection criteria with zero server persistence.</w:t>
      </w:r>
    </w:p>
    <w:p>
      <w:pPr>
        <w:pStyle w:val="ListParagraph"/>
        <w:spacing w:after="80" w:line="276" w:lineRule="auto"/>
      </w:pPr>
      <w:r>
        <w:rPr>
          <w:rFonts w:ascii="Times New Roman" w:hAnsi="Times New Roman"/>
          <w:b/>
          <w:color w:val="282828"/>
          <w:sz w:val="22"/>
        </w:rPr>
        <w:t xml:space="preserve">9. Responsive Clinical UI: </w:t>
      </w:r>
      <w:r>
        <w:rPr>
          <w:rFonts w:ascii="Times New Roman" w:hAnsi="Times New Roman"/>
          <w:color w:val="282828"/>
          <w:sz w:val="22"/>
        </w:rPr>
        <w:t>Deliver a lightweight, responsive Vanilla JS frontend with dark and clinical light themes, PWA offline caching, and tri-lingual localization.</w:t>
      </w:r>
    </w:p>
    <w:p>
      <w:pPr>
        <w:pStyle w:val="ListParagraph"/>
        <w:spacing w:after="80" w:line="276" w:lineRule="auto"/>
      </w:pPr>
      <w:r>
        <w:rPr>
          <w:rFonts w:ascii="Times New Roman" w:hAnsi="Times New Roman"/>
          <w:b/>
          <w:color w:val="282828"/>
          <w:sz w:val="22"/>
        </w:rPr>
        <w:t xml:space="preserve">10. Zero Fake Data Contract: </w:t>
      </w:r>
      <w:r>
        <w:rPr>
          <w:rFonts w:ascii="Times New Roman" w:hAnsi="Times New Roman"/>
          <w:color w:val="282828"/>
          <w:sz w:val="22"/>
        </w:rPr>
        <w:t>Uphold an absolute 'Zero Fake Data' contract, displaying honest pipeline telemetry rather than simulated figures.</w:t>
      </w:r>
    </w:p>
    <w:p>
      <w:pPr>
        <w:keepNext/>
        <w:spacing w:before="240" w:after="120"/>
      </w:pPr>
      <w:r>
        <w:rPr>
          <w:rFonts w:ascii="Times New Roman" w:hAnsi="Times New Roman"/>
          <w:b/>
          <w:color w:val="1B365D"/>
          <w:sz w:val="27"/>
        </w:rPr>
        <w:t>3.5 Feasibility Study</w:t>
      </w:r>
    </w:p>
    <w:p>
      <w:pPr>
        <w:spacing w:after="120" w:line="276" w:lineRule="auto"/>
      </w:pPr>
      <w:r>
        <w:rPr>
          <w:rFonts w:ascii="Times New Roman" w:hAnsi="Times New Roman"/>
          <w:color w:val="282828"/>
          <w:sz w:val="22"/>
        </w:rPr>
        <w:t>Before architectural implementation, a comprehensive feasibility study was conducted across operational, technical, and economic dimensions:</w:t>
      </w:r>
    </w:p>
    <w:p>
      <w:pPr>
        <w:pStyle w:val="ListParagraph"/>
        <w:spacing w:after="80" w:line="276" w:lineRule="auto"/>
      </w:pPr>
      <w:r>
        <w:rPr>
          <w:rFonts w:ascii="Times New Roman" w:hAnsi="Times New Roman"/>
          <w:b/>
          <w:color w:val="282828"/>
          <w:sz w:val="22"/>
        </w:rPr>
        <w:t xml:space="preserve">Operational Feasibility: </w:t>
      </w:r>
      <w:r>
        <w:rPr>
          <w:rFonts w:ascii="Times New Roman" w:hAnsi="Times New Roman"/>
          <w:color w:val="282828"/>
          <w:sz w:val="22"/>
        </w:rPr>
        <w:t>The system requires zero training for end-users. The interface presents a streamlined emergency search bar, clear blood group selectors, and a prominent 1-click Emergency Mode. Medical staff and citizens can operate the platform effortlessly even during high-stress trauma situations.</w:t>
      </w:r>
    </w:p>
    <w:p>
      <w:pPr>
        <w:pStyle w:val="ListParagraph"/>
        <w:spacing w:after="80" w:line="276" w:lineRule="auto"/>
      </w:pPr>
      <w:r>
        <w:rPr>
          <w:rFonts w:ascii="Times New Roman" w:hAnsi="Times New Roman"/>
          <w:b/>
          <w:color w:val="282828"/>
          <w:sz w:val="22"/>
        </w:rPr>
        <w:t xml:space="preserve">Technical Feasibility: </w:t>
      </w:r>
      <w:r>
        <w:rPr>
          <w:rFonts w:ascii="Times New Roman" w:hAnsi="Times New Roman"/>
          <w:color w:val="282828"/>
          <w:sz w:val="22"/>
        </w:rPr>
        <w:t>The chosen software stack (Python 3.12, DuckDB, dbt, FastAPI, Vanilla JS) is production-proven, highly scalable, and platform-independent. DuckDB provides columnar vector speed without the memory footprint of Spark or Trino, running smoothly even on a modest 4GB virtual machine.</w:t>
      </w:r>
    </w:p>
    <w:p>
      <w:pPr>
        <w:pStyle w:val="ListParagraph"/>
        <w:spacing w:after="80" w:line="276" w:lineRule="auto"/>
      </w:pPr>
      <w:r>
        <w:rPr>
          <w:rFonts w:ascii="Times New Roman" w:hAnsi="Times New Roman"/>
          <w:b/>
          <w:color w:val="282828"/>
          <w:sz w:val="22"/>
        </w:rPr>
        <w:t xml:space="preserve">Economical Feasibility: </w:t>
      </w:r>
      <w:r>
        <w:rPr>
          <w:rFonts w:ascii="Times New Roman" w:hAnsi="Times New Roman"/>
          <w:color w:val="282828"/>
          <w:sz w:val="22"/>
        </w:rPr>
        <w:t>The entire software ecosystem is built on permissive open-source licenses (MIT, Apache 2.0, BSD). There are zero recurring database license fees, zero proprietary API subscription costs, and minimal hosting overhead, making Raktsetu extraordinarily cost-effective for public health deployment.</w:t>
      </w:r>
    </w:p>
    <w:p>
      <w:pPr>
        <w:keepNext/>
        <w:spacing w:before="240" w:after="120"/>
      </w:pPr>
      <w:r>
        <w:rPr>
          <w:rFonts w:ascii="Times New Roman" w:hAnsi="Times New Roman"/>
          <w:b/>
          <w:color w:val="1B365D"/>
          <w:sz w:val="27"/>
        </w:rPr>
        <w:t>3.6 Development &amp; Operating Cost Estimation</w:t>
      </w:r>
    </w:p>
    <w:p>
      <w:pPr>
        <w:spacing w:after="120" w:line="276" w:lineRule="auto"/>
      </w:pPr>
      <w:r>
        <w:rPr>
          <w:rFonts w:ascii="Times New Roman" w:hAnsi="Times New Roman"/>
          <w:color w:val="282828"/>
          <w:sz w:val="22"/>
        </w:rPr>
        <w:t>The following cost matrix outlines the estimated capital and recurring expenditure for state-level production deployment: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592"/>
            <w:shd w:fill="D8D8D8"/>
            <w:tcMar>
              <w:top w:w="120" w:type="dxa"/>
              <w:bottom w:w="120" w:type="dxa"/>
              <w:left w:w="140" w:type="dxa"/>
              <w:right w:w="140" w:type="dxa"/>
            </w:tcMar>
          </w:tcPr>
          <w:p>
            <w:pPr>
              <w:jc w:val="center"/>
            </w:pPr>
            <w:r>
              <w:rPr>
                <w:rFonts w:ascii="Times New Roman" w:hAnsi="Times New Roman"/>
                <w:b/>
                <w:color w:val="1B365D"/>
                <w:sz w:val="20"/>
              </w:rPr>
              <w:t>Item / Resource Category</w:t>
            </w:r>
          </w:p>
        </w:tc>
        <w:tc>
          <w:tcPr>
            <w:tcW w:type="dxa" w:w="3744"/>
            <w:shd w:fill="D8D8D8"/>
            <w:tcMar>
              <w:top w:w="120" w:type="dxa"/>
              <w:bottom w:w="120" w:type="dxa"/>
              <w:left w:w="140" w:type="dxa"/>
              <w:right w:w="140" w:type="dxa"/>
            </w:tcMar>
          </w:tcPr>
          <w:p>
            <w:pPr>
              <w:jc w:val="center"/>
            </w:pPr>
            <w:r>
              <w:rPr>
                <w:rFonts w:ascii="Times New Roman" w:hAnsi="Times New Roman"/>
                <w:b/>
                <w:color w:val="1B365D"/>
                <w:sz w:val="20"/>
              </w:rPr>
              <w:t>Specification / Provider</w:t>
            </w:r>
          </w:p>
        </w:tc>
        <w:tc>
          <w:tcPr>
            <w:tcW w:type="dxa" w:w="1728"/>
            <w:shd w:fill="D8D8D8"/>
            <w:tcMar>
              <w:top w:w="120" w:type="dxa"/>
              <w:bottom w:w="120" w:type="dxa"/>
              <w:left w:w="140" w:type="dxa"/>
              <w:right w:w="140" w:type="dxa"/>
            </w:tcMar>
          </w:tcPr>
          <w:p>
            <w:pPr>
              <w:jc w:val="center"/>
            </w:pPr>
            <w:r>
              <w:rPr>
                <w:rFonts w:ascii="Times New Roman" w:hAnsi="Times New Roman"/>
                <w:b/>
                <w:color w:val="1B365D"/>
                <w:sz w:val="20"/>
              </w:rPr>
              <w:t>Estimated Monthly Cost (INR)</w:t>
            </w:r>
          </w:p>
        </w:tc>
        <w:tc>
          <w:tcPr>
            <w:tcW w:type="dxa" w:w="1728"/>
            <w:shd w:fill="D8D8D8"/>
            <w:tcMar>
              <w:top w:w="120" w:type="dxa"/>
              <w:bottom w:w="120" w:type="dxa"/>
              <w:left w:w="140" w:type="dxa"/>
              <w:right w:w="140" w:type="dxa"/>
            </w:tcMar>
          </w:tcPr>
          <w:p>
            <w:pPr>
              <w:jc w:val="center"/>
            </w:pPr>
            <w:r>
              <w:rPr>
                <w:rFonts w:ascii="Times New Roman" w:hAnsi="Times New Roman"/>
                <w:b/>
                <w:color w:val="1B365D"/>
                <w:sz w:val="20"/>
              </w:rPr>
              <w:t>Estimated Annual Cost (INR)</w:t>
            </w:r>
          </w:p>
        </w:tc>
      </w:tr>
      <w:tr>
        <w:trPr>
          <w:cantSplit/>
        </w:trPr>
        <w:tc>
          <w:tcPr>
            <w:tcW w:type="dxa" w:w="2592"/>
            <w:shd w:fill="FFFFFF"/>
            <w:tcMar>
              <w:top w:w="80" w:type="dxa"/>
              <w:bottom w:w="80" w:type="dxa"/>
              <w:left w:w="120" w:type="dxa"/>
              <w:right w:w="120" w:type="dxa"/>
            </w:tcMar>
          </w:tcPr>
          <w:p>
            <w:pPr>
              <w:spacing w:line="276" w:lineRule="auto"/>
            </w:pPr>
            <w:r>
              <w:rPr>
                <w:rFonts w:ascii="Times New Roman" w:hAnsi="Times New Roman"/>
                <w:color w:val="282828"/>
                <w:sz w:val="19"/>
              </w:rPr>
              <w:t>Cloud Virtual Machine</w:t>
            </w:r>
          </w:p>
        </w:tc>
        <w:tc>
          <w:tcPr>
            <w:tcW w:type="dxa" w:w="3744"/>
            <w:shd w:fill="FFFFFF"/>
            <w:tcMar>
              <w:top w:w="80" w:type="dxa"/>
              <w:bottom w:w="80" w:type="dxa"/>
              <w:left w:w="120" w:type="dxa"/>
              <w:right w:w="120" w:type="dxa"/>
            </w:tcMar>
          </w:tcPr>
          <w:p>
            <w:pPr>
              <w:spacing w:line="276" w:lineRule="auto"/>
            </w:pPr>
            <w:r>
              <w:rPr>
                <w:rFonts w:ascii="Times New Roman" w:hAnsi="Times New Roman"/>
                <w:color w:val="282828"/>
                <w:sz w:val="19"/>
              </w:rPr>
              <w:t>2 vCPU, 4GB RAM, 80GB NVMe (DigitalOcean / Hetzner / AWS Lightsail)</w:t>
            </w:r>
          </w:p>
        </w:tc>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₹1,200</w:t>
            </w:r>
          </w:p>
        </w:tc>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₹14,400</w:t>
            </w:r>
          </w:p>
        </w:tc>
      </w:tr>
      <w:tr>
        <w:trPr>
          <w:cantSplit/>
        </w:trPr>
        <w:tc>
          <w:tcPr>
            <w:tcW w:type="dxa" w:w="2592"/>
            <w:shd w:fill="F9FAFB"/>
            <w:tcMar>
              <w:top w:w="80" w:type="dxa"/>
              <w:bottom w:w="80" w:type="dxa"/>
              <w:left w:w="120" w:type="dxa"/>
              <w:right w:w="120" w:type="dxa"/>
            </w:tcMar>
          </w:tcPr>
          <w:p>
            <w:pPr>
              <w:spacing w:line="276" w:lineRule="auto"/>
            </w:pPr>
            <w:r>
              <w:rPr>
                <w:rFonts w:ascii="Times New Roman" w:hAnsi="Times New Roman"/>
                <w:color w:val="282828"/>
                <w:sz w:val="19"/>
              </w:rPr>
              <w:t>Domain Name &amp; SSL</w:t>
            </w:r>
          </w:p>
        </w:tc>
        <w:tc>
          <w:tcPr>
            <w:tcW w:type="dxa" w:w="3744"/>
            <w:shd w:fill="F9FAFB"/>
            <w:tcMar>
              <w:top w:w="80" w:type="dxa"/>
              <w:bottom w:w="80" w:type="dxa"/>
              <w:left w:w="120" w:type="dxa"/>
              <w:right w:w="120" w:type="dxa"/>
            </w:tcMar>
          </w:tcPr>
          <w:p>
            <w:pPr>
              <w:spacing w:line="276" w:lineRule="auto"/>
            </w:pPr>
            <w:r>
              <w:rPr>
                <w:rFonts w:ascii="Times New Roman" w:hAnsi="Times New Roman"/>
                <w:color w:val="282828"/>
                <w:sz w:val="19"/>
              </w:rPr>
              <w:t>.org.in or .gov.in Domain + Let's Encrypt Wildcard SSL</w:t>
            </w:r>
          </w:p>
        </w:tc>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₹100</w:t>
            </w:r>
          </w:p>
        </w:tc>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₹1,200</w:t>
            </w:r>
          </w:p>
        </w:tc>
      </w:tr>
      <w:tr>
        <w:trPr>
          <w:cantSplit/>
        </w:trPr>
        <w:tc>
          <w:tcPr>
            <w:tcW w:type="dxa" w:w="2592"/>
            <w:shd w:fill="FFFFFF"/>
            <w:tcMar>
              <w:top w:w="80" w:type="dxa"/>
              <w:bottom w:w="80" w:type="dxa"/>
              <w:left w:w="120" w:type="dxa"/>
              <w:right w:w="120" w:type="dxa"/>
            </w:tcMar>
          </w:tcPr>
          <w:p>
            <w:pPr>
              <w:spacing w:line="276" w:lineRule="auto"/>
            </w:pPr>
            <w:r>
              <w:rPr>
                <w:rFonts w:ascii="Times New Roman" w:hAnsi="Times New Roman"/>
                <w:color w:val="282828"/>
                <w:sz w:val="19"/>
              </w:rPr>
              <w:t>Database Engine</w:t>
            </w:r>
          </w:p>
        </w:tc>
        <w:tc>
          <w:tcPr>
            <w:tcW w:type="dxa" w:w="3744"/>
            <w:shd w:fill="FFFFFF"/>
            <w:tcMar>
              <w:top w:w="80" w:type="dxa"/>
              <w:bottom w:w="80" w:type="dxa"/>
              <w:left w:w="120" w:type="dxa"/>
              <w:right w:w="120" w:type="dxa"/>
            </w:tcMar>
          </w:tcPr>
          <w:p>
            <w:pPr>
              <w:spacing w:line="276" w:lineRule="auto"/>
            </w:pPr>
            <w:r>
              <w:rPr>
                <w:rFonts w:ascii="Times New Roman" w:hAnsi="Times New Roman"/>
                <w:color w:val="282828"/>
                <w:sz w:val="19"/>
              </w:rPr>
              <w:t>DuckDB In-Process Columnar Lakehouse (Embedded, Open Source)</w:t>
            </w:r>
          </w:p>
        </w:tc>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₹0 (Free)</w:t>
            </w:r>
          </w:p>
        </w:tc>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₹0 (Free)</w:t>
            </w:r>
          </w:p>
        </w:tc>
      </w:tr>
      <w:tr>
        <w:trPr>
          <w:cantSplit/>
        </w:trPr>
        <w:tc>
          <w:tcPr>
            <w:tcW w:type="dxa" w:w="2592"/>
            <w:shd w:fill="F9FAFB"/>
            <w:tcMar>
              <w:top w:w="80" w:type="dxa"/>
              <w:bottom w:w="80" w:type="dxa"/>
              <w:left w:w="120" w:type="dxa"/>
              <w:right w:w="120" w:type="dxa"/>
            </w:tcMar>
          </w:tcPr>
          <w:p>
            <w:pPr>
              <w:spacing w:line="276" w:lineRule="auto"/>
            </w:pPr>
            <w:r>
              <w:rPr>
                <w:rFonts w:ascii="Times New Roman" w:hAnsi="Times New Roman"/>
                <w:color w:val="282828"/>
                <w:sz w:val="19"/>
              </w:rPr>
              <w:t>Transformation Tooling</w:t>
            </w:r>
          </w:p>
        </w:tc>
        <w:tc>
          <w:tcPr>
            <w:tcW w:type="dxa" w:w="3744"/>
            <w:shd w:fill="F9FAFB"/>
            <w:tcMar>
              <w:top w:w="80" w:type="dxa"/>
              <w:bottom w:w="80" w:type="dxa"/>
              <w:left w:w="120" w:type="dxa"/>
              <w:right w:w="120" w:type="dxa"/>
            </w:tcMar>
          </w:tcPr>
          <w:p>
            <w:pPr>
              <w:spacing w:line="276" w:lineRule="auto"/>
            </w:pPr>
            <w:r>
              <w:rPr>
                <w:rFonts w:ascii="Times New Roman" w:hAnsi="Times New Roman"/>
                <w:color w:val="282828"/>
                <w:sz w:val="19"/>
              </w:rPr>
              <w:t>dbt Core + dbt-duckdb (Open Source)</w:t>
            </w:r>
          </w:p>
        </w:tc>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₹0 (Free)</w:t>
            </w:r>
          </w:p>
        </w:tc>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₹0 (Free)</w:t>
            </w:r>
          </w:p>
        </w:tc>
      </w:tr>
      <w:tr>
        <w:trPr>
          <w:cantSplit/>
        </w:trPr>
        <w:tc>
          <w:tcPr>
            <w:tcW w:type="dxa" w:w="2592"/>
            <w:shd w:fill="FFFFFF"/>
            <w:tcMar>
              <w:top w:w="80" w:type="dxa"/>
              <w:bottom w:w="80" w:type="dxa"/>
              <w:left w:w="120" w:type="dxa"/>
              <w:right w:w="120" w:type="dxa"/>
            </w:tcMar>
          </w:tcPr>
          <w:p>
            <w:pPr>
              <w:spacing w:line="276" w:lineRule="auto"/>
            </w:pPr>
            <w:r>
              <w:rPr>
                <w:rFonts w:ascii="Times New Roman" w:hAnsi="Times New Roman"/>
                <w:color w:val="282828"/>
                <w:sz w:val="19"/>
              </w:rPr>
              <w:t>Mapping &amp; Tile Services</w:t>
            </w:r>
          </w:p>
        </w:tc>
        <w:tc>
          <w:tcPr>
            <w:tcW w:type="dxa" w:w="3744"/>
            <w:shd w:fill="FFFFFF"/>
            <w:tcMar>
              <w:top w:w="80" w:type="dxa"/>
              <w:bottom w:w="80" w:type="dxa"/>
              <w:left w:w="120" w:type="dxa"/>
              <w:right w:w="120" w:type="dxa"/>
            </w:tcMar>
          </w:tcPr>
          <w:p>
            <w:pPr>
              <w:spacing w:line="276" w:lineRule="auto"/>
            </w:pPr>
            <w:r>
              <w:rPr>
                <w:rFonts w:ascii="Times New Roman" w:hAnsi="Times New Roman"/>
                <w:color w:val="282828"/>
                <w:sz w:val="19"/>
              </w:rPr>
              <w:t>Leaflet.js + Carto Positron / OpenStreetMap Tiles</w:t>
            </w:r>
          </w:p>
        </w:tc>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₹0 (Free Tier)</w:t>
            </w:r>
          </w:p>
        </w:tc>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₹0 (Free Tier)</w:t>
            </w:r>
          </w:p>
        </w:tc>
      </w:tr>
      <w:tr>
        <w:trPr>
          <w:cantSplit/>
        </w:trPr>
        <w:tc>
          <w:tcPr>
            <w:tcW w:type="dxa" w:w="2592"/>
            <w:shd w:fill="F9FAFB"/>
            <w:tcMar>
              <w:top w:w="80" w:type="dxa"/>
              <w:bottom w:w="80" w:type="dxa"/>
              <w:left w:w="120" w:type="dxa"/>
              <w:right w:w="120" w:type="dxa"/>
            </w:tcMar>
          </w:tcPr>
          <w:p>
            <w:pPr>
              <w:spacing w:line="276" w:lineRule="auto"/>
            </w:pPr>
            <w:r>
              <w:rPr>
                <w:rFonts w:ascii="Times New Roman" w:hAnsi="Times New Roman"/>
                <w:color w:val="282828"/>
                <w:sz w:val="19"/>
              </w:rPr>
              <w:t>Continuous Ingestion Worker</w:t>
            </w:r>
          </w:p>
        </w:tc>
        <w:tc>
          <w:tcPr>
            <w:tcW w:type="dxa" w:w="3744"/>
            <w:shd w:fill="F9FAFB"/>
            <w:tcMar>
              <w:top w:w="80" w:type="dxa"/>
              <w:bottom w:w="80" w:type="dxa"/>
              <w:left w:w="120" w:type="dxa"/>
              <w:right w:w="120" w:type="dxa"/>
            </w:tcMar>
          </w:tcPr>
          <w:p>
            <w:pPr>
              <w:spacing w:line="276" w:lineRule="auto"/>
            </w:pPr>
            <w:r>
              <w:rPr>
                <w:rFonts w:ascii="Times New Roman" w:hAnsi="Times New Roman"/>
                <w:color w:val="282828"/>
                <w:sz w:val="19"/>
              </w:rPr>
              <w:t>Asynchronous Python cron daemon running on host VM</w:t>
            </w:r>
          </w:p>
        </w:tc>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₹0 (Included)</w:t>
            </w:r>
          </w:p>
        </w:tc>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₹0 (Included)</w:t>
            </w:r>
          </w:p>
        </w:tc>
      </w:tr>
      <w:tr>
        <w:trPr>
          <w:cantSplit/>
        </w:trPr>
        <w:tc>
          <w:tcPr>
            <w:tcW w:type="dxa" w:w="2592"/>
            <w:shd w:fill="FFFFFF"/>
            <w:tcMar>
              <w:top w:w="80" w:type="dxa"/>
              <w:bottom w:w="80" w:type="dxa"/>
              <w:left w:w="120" w:type="dxa"/>
              <w:right w:w="120" w:type="dxa"/>
            </w:tcMar>
          </w:tcPr>
          <w:p>
            <w:pPr>
              <w:spacing w:line="276" w:lineRule="auto"/>
            </w:pPr>
            <w:r>
              <w:rPr>
                <w:rFonts w:ascii="Times New Roman" w:hAnsi="Times New Roman"/>
                <w:color w:val="282828"/>
                <w:sz w:val="19"/>
              </w:rPr>
              <w:t>System Maintenance &amp; Backups</w:t>
            </w:r>
          </w:p>
        </w:tc>
        <w:tc>
          <w:tcPr>
            <w:tcW w:type="dxa" w:w="3744"/>
            <w:shd w:fill="FFFFFF"/>
            <w:tcMar>
              <w:top w:w="80" w:type="dxa"/>
              <w:bottom w:w="80" w:type="dxa"/>
              <w:left w:w="120" w:type="dxa"/>
              <w:right w:w="120" w:type="dxa"/>
            </w:tcMar>
          </w:tcPr>
          <w:p>
            <w:pPr>
              <w:spacing w:line="276" w:lineRule="auto"/>
            </w:pPr>
            <w:r>
              <w:rPr>
                <w:rFonts w:ascii="Times New Roman" w:hAnsi="Times New Roman"/>
                <w:color w:val="282828"/>
                <w:sz w:val="19"/>
              </w:rPr>
              <w:t>Automated daily DuckDB database snapshots to Cloud Object Storage</w:t>
            </w:r>
          </w:p>
        </w:tc>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₹250</w:t>
            </w:r>
          </w:p>
        </w:tc>
        <w:tc>
          <w:tcPr>
            <w:tcW w:type="dxa" w:w="1728"/>
            <w:shd w:fill="FFFFFF"/>
            <w:tcMar>
              <w:top w:w="80" w:type="dxa"/>
              <w:bottom w:w="80" w:type="dxa"/>
              <w:left w:w="120" w:type="dxa"/>
              <w:right w:w="120" w:type="dxa"/>
            </w:tcMar>
          </w:tcPr>
          <w:p>
            <w:pPr>
              <w:spacing w:line="276" w:lineRule="auto"/>
            </w:pPr>
            <w:r>
              <w:rPr>
                <w:rFonts w:ascii="Times New Roman" w:hAnsi="Times New Roman"/>
                <w:color w:val="282828"/>
                <w:sz w:val="19"/>
              </w:rPr>
              <w:t>₹3,000</w:t>
            </w:r>
          </w:p>
        </w:tc>
      </w:tr>
      <w:tr>
        <w:trPr>
          <w:cantSplit/>
        </w:trPr>
        <w:tc>
          <w:tcPr>
            <w:tcW w:type="dxa" w:w="2592"/>
            <w:shd w:fill="F9FAFB"/>
            <w:tcMar>
              <w:top w:w="80" w:type="dxa"/>
              <w:bottom w:w="80" w:type="dxa"/>
              <w:left w:w="120" w:type="dxa"/>
              <w:right w:w="120" w:type="dxa"/>
            </w:tcMar>
          </w:tcPr>
          <w:p>
            <w:pPr>
              <w:spacing w:line="276" w:lineRule="auto"/>
            </w:pPr>
            <w:r>
              <w:rPr>
                <w:rFonts w:ascii="Times New Roman" w:hAnsi="Times New Roman"/>
                <w:color w:val="282828"/>
                <w:sz w:val="19"/>
              </w:rPr>
              <w:t>TOTAL ESTIMATED BUDGET</w:t>
            </w:r>
          </w:p>
        </w:tc>
        <w:tc>
          <w:tcPr>
            <w:tcW w:type="dxa" w:w="3744"/>
            <w:shd w:fill="F9FAFB"/>
            <w:tcMar>
              <w:top w:w="80" w:type="dxa"/>
              <w:bottom w:w="80" w:type="dxa"/>
              <w:left w:w="120" w:type="dxa"/>
              <w:right w:w="120" w:type="dxa"/>
            </w:tcMar>
          </w:tcPr>
          <w:p>
            <w:pPr>
              <w:spacing w:line="276" w:lineRule="auto"/>
            </w:pPr>
            <w:r>
              <w:rPr>
                <w:rFonts w:ascii="Times New Roman" w:hAnsi="Times New Roman"/>
                <w:color w:val="282828"/>
                <w:sz w:val="19"/>
              </w:rPr>
              <w:t>Full-Featured State-Wide Production Deployment</w:t>
            </w:r>
          </w:p>
        </w:tc>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₹1,550</w:t>
            </w:r>
          </w:p>
        </w:tc>
        <w:tc>
          <w:tcPr>
            <w:tcW w:type="dxa" w:w="1728"/>
            <w:shd w:fill="F9FAFB"/>
            <w:tcMar>
              <w:top w:w="80" w:type="dxa"/>
              <w:bottom w:w="80" w:type="dxa"/>
              <w:left w:w="120" w:type="dxa"/>
              <w:right w:w="120" w:type="dxa"/>
            </w:tcMar>
          </w:tcPr>
          <w:p>
            <w:pPr>
              <w:spacing w:line="276" w:lineRule="auto"/>
            </w:pPr>
            <w:r>
              <w:rPr>
                <w:rFonts w:ascii="Times New Roman" w:hAnsi="Times New Roman"/>
                <w:color w:val="282828"/>
                <w:sz w:val="19"/>
              </w:rPr>
              <w:t>₹18,600</w:t>
            </w:r>
          </w:p>
        </w:tc>
      </w:tr>
    </w:tbl>
    <w:p>
      <w:pPr>
        <w:spacing w:after="120"/>
      </w:pPr>
    </w:p>
    <w:p>
      <w:r>
        <w:br w:type="page"/>
      </w:r>
    </w:p>
    <w:p>
      <w:pPr>
        <w:keepNext/>
        <w:spacing w:before="320" w:after="160"/>
      </w:pPr>
      <w:r>
        <w:rPr>
          <w:rFonts w:ascii="Times New Roman" w:hAnsi="Times New Roman"/>
          <w:b/>
          <w:color w:val="C00000"/>
          <w:sz w:val="32"/>
        </w:rPr>
        <w:t>CHAPTER 4: SYSTEM ANALYSIS</w:t>
      </w:r>
    </w:p>
    <w:p>
      <w:pPr>
        <w:keepNext/>
        <w:spacing w:before="240" w:after="120"/>
      </w:pPr>
      <w:r>
        <w:rPr>
          <w:rFonts w:ascii="Times New Roman" w:hAnsi="Times New Roman"/>
          <w:b/>
          <w:color w:val="1B365D"/>
          <w:sz w:val="27"/>
        </w:rPr>
        <w:t>4.1 Requirement Specifications (System Modules)</w:t>
      </w:r>
    </w:p>
    <w:p>
      <w:pPr>
        <w:spacing w:after="120" w:line="276" w:lineRule="auto"/>
      </w:pPr>
      <w:r>
        <w:rPr>
          <w:rFonts w:ascii="Times New Roman" w:hAnsi="Times New Roman"/>
          <w:color w:val="282828"/>
          <w:sz w:val="22"/>
        </w:rPr>
        <w:t>Raktsetu is architected into four cohesive, decoupled operational modules designed to serve diverse clinical and administrative needs:</w:t>
      </w:r>
    </w:p>
    <w:p>
      <w:pPr>
        <w:keepNext/>
        <w:spacing w:before="160" w:after="80"/>
      </w:pPr>
      <w:r>
        <w:rPr>
          <w:rFonts w:ascii="Times New Roman" w:hAnsi="Times New Roman"/>
          <w:b/>
          <w:color w:val="282828"/>
          <w:sz w:val="24"/>
        </w:rPr>
        <w:t>Module 1: Citizen Emergency Triage &amp; Compatibility Module</w:t>
      </w:r>
    </w:p>
    <w:p>
      <w:pPr>
        <w:pStyle w:val="ListParagraph"/>
        <w:spacing w:after="80" w:line="276" w:lineRule="auto"/>
      </w:pPr>
      <w:r>
        <w:rPr>
          <w:rFonts w:ascii="Times New Roman" w:hAnsi="Times New Roman"/>
          <w:color w:val="282828"/>
          <w:sz w:val="22"/>
        </w:rPr>
        <w:t>Allows patients and hospital attendants to input patient ABO/Rh blood group and required component (Whole Blood, Packed Red Blood Cells, Fresh Frozen Plasma, Platelets, Cryoprecipitate).</w:t>
      </w:r>
    </w:p>
    <w:p>
      <w:pPr>
        <w:pStyle w:val="ListParagraph"/>
        <w:spacing w:after="80" w:line="276" w:lineRule="auto"/>
      </w:pPr>
      <w:r>
        <w:rPr>
          <w:rFonts w:ascii="Times New Roman" w:hAnsi="Times New Roman"/>
          <w:color w:val="282828"/>
          <w:sz w:val="22"/>
        </w:rPr>
        <w:t>Automatically expands search criteria to include all clinically compatible substitute groups based on NBTC/WHO rules.</w:t>
      </w:r>
    </w:p>
    <w:p>
      <w:pPr>
        <w:pStyle w:val="ListParagraph"/>
        <w:spacing w:after="80" w:line="276" w:lineRule="auto"/>
      </w:pPr>
      <w:r>
        <w:rPr>
          <w:rFonts w:ascii="Times New Roman" w:hAnsi="Times New Roman"/>
          <w:color w:val="282828"/>
          <w:sz w:val="22"/>
        </w:rPr>
        <w:t>Generates the Smart Emergency Call List, ranking centers by available compatible units, verified reliability score, and direct telephone contact.</w:t>
      </w:r>
    </w:p>
    <w:p>
      <w:pPr>
        <w:keepNext/>
        <w:spacing w:before="160" w:after="80"/>
      </w:pPr>
      <w:r>
        <w:rPr>
          <w:rFonts w:ascii="Times New Roman" w:hAnsi="Times New Roman"/>
          <w:b/>
          <w:color w:val="282828"/>
          <w:sz w:val="24"/>
        </w:rPr>
        <w:t>Module 2: Geospatial Mapping &amp; Facility Locator Module</w:t>
      </w:r>
    </w:p>
    <w:p>
      <w:pPr>
        <w:pStyle w:val="ListParagraph"/>
        <w:spacing w:after="80" w:line="276" w:lineRule="auto"/>
      </w:pPr>
      <w:r>
        <w:rPr>
          <w:rFonts w:ascii="Times New Roman" w:hAnsi="Times New Roman"/>
          <w:color w:val="282828"/>
          <w:sz w:val="22"/>
        </w:rPr>
        <w:t>Renders an interactive Carto Positron map displaying blood centers across states and districts.</w:t>
      </w:r>
    </w:p>
    <w:p>
      <w:pPr>
        <w:pStyle w:val="ListParagraph"/>
        <w:spacing w:after="80" w:line="276" w:lineRule="auto"/>
      </w:pPr>
      <w:r>
        <w:rPr>
          <w:rFonts w:ascii="Times New Roman" w:hAnsi="Times New Roman"/>
          <w:color w:val="282828"/>
          <w:sz w:val="22"/>
        </w:rPr>
        <w:t>Features custom SVG markers color-coded by facility trust tier (Green &gt;= 75%, Amber 50-74%, Red &lt; 50%).</w:t>
      </w:r>
    </w:p>
    <w:p>
      <w:pPr>
        <w:pStyle w:val="ListParagraph"/>
        <w:spacing w:after="80" w:line="276" w:lineRule="auto"/>
      </w:pPr>
      <w:r>
        <w:rPr>
          <w:rFonts w:ascii="Times New Roman" w:hAnsi="Times New Roman"/>
          <w:color w:val="282828"/>
          <w:sz w:val="22"/>
        </w:rPr>
        <w:t>Provides 1-click geolocation routing, center telephone dialing, and comprehensive component breakdowns in interactive popups.</w:t>
      </w:r>
    </w:p>
    <w:p>
      <w:pPr>
        <w:keepNext/>
        <w:spacing w:before="160" w:after="80"/>
      </w:pPr>
      <w:r>
        <w:rPr>
          <w:rFonts w:ascii="Times New Roman" w:hAnsi="Times New Roman"/>
          <w:b/>
          <w:color w:val="282828"/>
          <w:sz w:val="24"/>
        </w:rPr>
        <w:t>Module 3: Public Health Intelligence &amp; District Deficit Module</w:t>
      </w:r>
    </w:p>
    <w:p>
      <w:pPr>
        <w:pStyle w:val="ListParagraph"/>
        <w:spacing w:after="80" w:line="276" w:lineRule="auto"/>
      </w:pPr>
      <w:r>
        <w:rPr>
          <w:rFonts w:ascii="Times New Roman" w:hAnsi="Times New Roman"/>
          <w:color w:val="282828"/>
          <w:sz w:val="22"/>
        </w:rPr>
        <w:t>Aggregates stock totals at district and state levels to compute localized supply deficit indexes.</w:t>
      </w:r>
    </w:p>
    <w:p>
      <w:pPr>
        <w:pStyle w:val="ListParagraph"/>
        <w:spacing w:after="80" w:line="276" w:lineRule="auto"/>
      </w:pPr>
      <w:r>
        <w:rPr>
          <w:rFonts w:ascii="Times New Roman" w:hAnsi="Times New Roman"/>
          <w:color w:val="282828"/>
          <w:sz w:val="22"/>
        </w:rPr>
        <w:t>Maintains the District Shortages Mart, categorizing districts into Critical Shortage (&lt;10 units), Moderate Deficit (10-30 units), and Healthy (&gt;30 units).</w:t>
      </w:r>
    </w:p>
    <w:p>
      <w:pPr>
        <w:pStyle w:val="ListParagraph"/>
        <w:spacing w:after="80" w:line="276" w:lineRule="auto"/>
      </w:pPr>
      <w:r>
        <w:rPr>
          <w:rFonts w:ascii="Times New Roman" w:hAnsi="Times New Roman"/>
          <w:color w:val="282828"/>
          <w:sz w:val="22"/>
        </w:rPr>
        <w:t>Provides historical stock trend charts and depletion velocity metrics to alert administrators of impending stock-outs.</w:t>
      </w:r>
    </w:p>
    <w:p>
      <w:pPr>
        <w:keepNext/>
        <w:spacing w:before="160" w:after="80"/>
      </w:pPr>
      <w:r>
        <w:rPr>
          <w:rFonts w:ascii="Times New Roman" w:hAnsi="Times New Roman"/>
          <w:b/>
          <w:color w:val="282828"/>
          <w:sz w:val="24"/>
        </w:rPr>
        <w:t>Module 4: Medallion Lakehouse Pipeline &amp; Dual-DB Quality Gate Module</w:t>
      </w:r>
    </w:p>
    <w:p>
      <w:pPr>
        <w:pStyle w:val="ListParagraph"/>
        <w:spacing w:after="80" w:line="276" w:lineRule="auto"/>
      </w:pPr>
      <w:r>
        <w:rPr>
          <w:rFonts w:ascii="Times New Roman" w:hAnsi="Times New Roman"/>
          <w:color w:val="282828"/>
          <w:sz w:val="22"/>
        </w:rPr>
        <w:t>Manages the automated asynchronous ingestion from national portals with polite rate pacing and fault tolerance.</w:t>
      </w:r>
    </w:p>
    <w:p>
      <w:pPr>
        <w:pStyle w:val="ListParagraph"/>
        <w:spacing w:after="80" w:line="276" w:lineRule="auto"/>
      </w:pPr>
      <w:r>
        <w:rPr>
          <w:rFonts w:ascii="Times New Roman" w:hAnsi="Times New Roman"/>
          <w:color w:val="282828"/>
          <w:sz w:val="22"/>
        </w:rPr>
        <w:t>Executes dbt transformations through Bronze (raw), Silver (cleansed/normalized), and Gold (marts) schemas.</w:t>
      </w:r>
    </w:p>
    <w:p>
      <w:pPr>
        <w:pStyle w:val="ListParagraph"/>
        <w:spacing w:after="80" w:line="276" w:lineRule="auto"/>
      </w:pPr>
      <w:r>
        <w:rPr>
          <w:rFonts w:ascii="Times New Roman" w:hAnsi="Times New Roman"/>
          <w:color w:val="282828"/>
          <w:sz w:val="22"/>
        </w:rPr>
        <w:t>Enforces the Dual-Database Quality Gate, running data invariant tests in an isolated build database before atomic promotion to production.</w:t>
      </w:r>
    </w:p>
    <w:p>
      <w:pPr>
        <w:keepNext/>
        <w:spacing w:before="240" w:after="120"/>
      </w:pPr>
      <w:r>
        <w:rPr>
          <w:rFonts w:ascii="Times New Roman" w:hAnsi="Times New Roman"/>
          <w:b/>
          <w:color w:val="1B365D"/>
          <w:sz w:val="27"/>
        </w:rPr>
        <w:t>4.2 UML Use Case Diagram &amp; Actor Analysis</w:t>
      </w:r>
    </w:p>
    <w:p>
      <w:pPr>
        <w:spacing w:after="120" w:line="276" w:lineRule="auto"/>
      </w:pPr>
      <w:r>
        <w:rPr>
          <w:rFonts w:ascii="Times New Roman" w:hAnsi="Times New Roman"/>
          <w:color w:val="282828"/>
          <w:sz w:val="22"/>
        </w:rPr>
        <w:t>The Use Case Diagram depicts the functional interactions between the primary actors and system use cases across the Raktsetu lakehouse:</w:t>
      </w:r>
    </w:p>
    <w:p>
      <w:pPr>
        <w:spacing w:before="160" w:after="80"/>
        <w:jc w:val="center"/>
      </w:pPr>
      <w:r>
        <w:drawing>
          <wp:inline xmlns:a="http://schemas.openxmlformats.org/drawingml/2006/main" xmlns:pic="http://schemas.openxmlformats.org/drawingml/2006/picture">
            <wp:extent cx="5669280" cy="4530108"/>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669280" cy="4530108"/>
                    </a:xfrm>
                    <a:prstGeom prst="rect"/>
                  </pic:spPr>
                </pic:pic>
              </a:graphicData>
            </a:graphic>
          </wp:inline>
        </w:drawing>
      </w:r>
    </w:p>
    <w:p>
      <w:pPr>
        <w:keepNext w:val="0"/>
        <w:spacing w:before="40" w:after="240"/>
        <w:jc w:val="center"/>
      </w:pPr>
      <w:r>
        <w:rPr>
          <w:rFonts w:ascii="Times New Roman" w:hAnsi="Times New Roman"/>
          <w:b/>
          <w:i/>
          <w:color w:val="1B365D"/>
          <w:sz w:val="20"/>
        </w:rPr>
        <w:t>Figure 4.1: UML Use Case Diagram of Raktsetu Platform</w:t>
      </w:r>
    </w:p>
    <w:p>
      <w:pPr>
        <w:spacing w:after="120" w:line="276" w:lineRule="auto"/>
      </w:pPr>
      <w:r>
        <w:rPr>
          <w:rFonts w:ascii="Times New Roman" w:hAnsi="Times New Roman"/>
          <w:b/>
          <w:color w:val="282828"/>
          <w:sz w:val="22"/>
        </w:rPr>
        <w:t xml:space="preserve">Detailed Actor Descriptions: </w:t>
      </w:r>
      <w:r>
        <w:rPr>
          <w:rFonts w:ascii="Times New Roman" w:hAnsi="Times New Roman"/>
          <w:color w:val="282828"/>
          <w:sz w:val="22"/>
        </w:rPr>
        <w:t>1. Emergency Requester / Citizen: Initiates emergency blood search, activates emergency triage mode, views compatibility rankings, inspects trust scores, dials blood banks, uses map navigation, and checks donor eligibility.</w:t>
        <w:br/>
        <w:t>2. Public Health Authority / State Officer: Monitors district blood deficits, tracks state-wide component availability, analyzes historical stock trends, and monitors pipeline health telemetry.</w:t>
        <w:br/>
        <w:t>3. Blood Bank Staff / Hospital Admin: Verifies facility stock listings, inspects reliability score diagnostics, and tracks inter-bank emergency inventory.</w:t>
        <w:br/>
        <w:t>4. Automated Pipeline Engine: Executes asynchronous scraping, runs dbt Medallion transformations, verifies schema invariants, and performs the atomic database swap.</w:t>
      </w:r>
    </w:p>
    <w:p>
      <w:pPr>
        <w:keepNext/>
        <w:spacing w:before="240" w:after="120"/>
      </w:pPr>
      <w:r>
        <w:rPr>
          <w:rFonts w:ascii="Times New Roman" w:hAnsi="Times New Roman"/>
          <w:b/>
          <w:color w:val="1B365D"/>
          <w:sz w:val="27"/>
        </w:rPr>
        <w:t>4.3 UML Class Diagram &amp; Domain Model</w:t>
      </w:r>
    </w:p>
    <w:p>
      <w:pPr>
        <w:spacing w:after="120" w:line="276" w:lineRule="auto"/>
      </w:pPr>
      <w:r>
        <w:rPr>
          <w:rFonts w:ascii="Times New Roman" w:hAnsi="Times New Roman"/>
          <w:color w:val="282828"/>
          <w:sz w:val="22"/>
        </w:rPr>
        <w:t>The Class Diagram illustrates the structural domain model, entity attributes, member methods, and relational multiplicities:</w:t>
      </w:r>
    </w:p>
    <w:p>
      <w:pPr>
        <w:spacing w:before="160" w:after="80"/>
        <w:jc w:val="center"/>
      </w:pPr>
      <w:r>
        <w:drawing>
          <wp:inline xmlns:a="http://schemas.openxmlformats.org/drawingml/2006/main" xmlns:pic="http://schemas.openxmlformats.org/drawingml/2006/picture">
            <wp:extent cx="5669280" cy="4041346"/>
            <wp:docPr id="6" name="Picture 6"/>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669280" cy="4041346"/>
                    </a:xfrm>
                    <a:prstGeom prst="rect"/>
                  </pic:spPr>
                </pic:pic>
              </a:graphicData>
            </a:graphic>
          </wp:inline>
        </w:drawing>
      </w:r>
    </w:p>
    <w:p>
      <w:pPr>
        <w:keepNext w:val="0"/>
        <w:spacing w:before="40" w:after="240"/>
        <w:jc w:val="center"/>
      </w:pPr>
      <w:r>
        <w:rPr>
          <w:rFonts w:ascii="Times New Roman" w:hAnsi="Times New Roman"/>
          <w:b/>
          <w:i/>
          <w:color w:val="1B365D"/>
          <w:sz w:val="20"/>
        </w:rPr>
        <w:t>Figure 4.2: UML Class Diagram &amp; Domain Model of Raktsetu</w:t>
      </w:r>
    </w:p>
    <w:p>
      <w:pPr>
        <w:spacing w:after="120" w:line="276" w:lineRule="auto"/>
      </w:pPr>
      <w:r>
        <w:rPr>
          <w:rFonts w:ascii="Times New Roman" w:hAnsi="Times New Roman"/>
          <w:b/>
          <w:color w:val="282828"/>
          <w:sz w:val="22"/>
        </w:rPr>
        <w:t xml:space="preserve">Core Entities &amp; Relationships: </w:t>
      </w:r>
      <w:r>
        <w:rPr>
          <w:rFonts w:ascii="Times New Roman" w:hAnsi="Times New Roman"/>
          <w:color w:val="282828"/>
          <w:sz w:val="22"/>
        </w:rPr>
        <w:t>• BloodBank: Central entity containing facility ID, name, state, district, geocoordinates (latitude/longitude), contact details, and license.</w:t>
        <w:br/>
        <w:t>• BloodComponent: Represents inventory units categorized by blood group (A+, A-, B+, B-, AB+, AB-, O+, O-, Oh) and component type.</w:t>
        <w:br/>
        <w:t>• ReliabilityScore: Encapsulates the 3-pillar algorithm, maintaining freshness score, completeness score, cadence score, total score, and tier classification.</w:t>
        <w:br/>
        <w:t>• EmergencyTriageEngine: Orchestrates compatibility evaluation, multi-group fallback resolution, and distance/trust ranking.</w:t>
        <w:br/>
        <w:t>• DistrictShortageMart: Aggregates regional stock, calculates deficit severity indexes, and triggers critical alerts.</w:t>
        <w:br/>
        <w:t>• DualDatabaseQualityGate: Controls isolated build execution, runs schema and data invariant checks, and manages atomic promotion.</w:t>
      </w:r>
    </w:p>
    <w:p>
      <w:pPr>
        <w:keepNext/>
        <w:spacing w:before="240" w:after="120"/>
      </w:pPr>
      <w:r>
        <w:rPr>
          <w:rFonts w:ascii="Times New Roman" w:hAnsi="Times New Roman"/>
          <w:b/>
          <w:color w:val="1B365D"/>
          <w:sz w:val="27"/>
        </w:rPr>
        <w:t>4.4 UML Activity Diagram (Emergency Triage Workflow)</w:t>
      </w:r>
    </w:p>
    <w:p>
      <w:pPr>
        <w:spacing w:after="120" w:line="276" w:lineRule="auto"/>
      </w:pPr>
      <w:r>
        <w:rPr>
          <w:rFonts w:ascii="Times New Roman" w:hAnsi="Times New Roman"/>
          <w:color w:val="282828"/>
          <w:sz w:val="22"/>
        </w:rPr>
        <w:t>The Activity Diagram delineates the step-by-step decision flow when an emergency blood request is submitted by an attendant:</w:t>
      </w:r>
    </w:p>
    <w:p>
      <w:pPr>
        <w:spacing w:before="160" w:after="80"/>
        <w:jc w:val="center"/>
      </w:pPr>
      <w:r>
        <w:drawing>
          <wp:inline xmlns:a="http://schemas.openxmlformats.org/drawingml/2006/main" xmlns:pic="http://schemas.openxmlformats.org/drawingml/2006/picture">
            <wp:extent cx="5303520" cy="4483177"/>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303520" cy="4483177"/>
                    </a:xfrm>
                    <a:prstGeom prst="rect"/>
                  </pic:spPr>
                </pic:pic>
              </a:graphicData>
            </a:graphic>
          </wp:inline>
        </w:drawing>
      </w:r>
    </w:p>
    <w:p>
      <w:pPr>
        <w:keepNext w:val="0"/>
        <w:spacing w:before="40" w:after="240"/>
        <w:jc w:val="center"/>
      </w:pPr>
      <w:r>
        <w:rPr>
          <w:rFonts w:ascii="Times New Roman" w:hAnsi="Times New Roman"/>
          <w:b/>
          <w:i/>
          <w:color w:val="1B365D"/>
          <w:sz w:val="20"/>
        </w:rPr>
        <w:t>Figure 4.3: UML Activity Diagram for Emergency Triage Workflow</w:t>
      </w:r>
    </w:p>
    <w:p>
      <w:pPr>
        <w:spacing w:after="120" w:line="276" w:lineRule="auto"/>
      </w:pPr>
      <w:r>
        <w:rPr>
          <w:rFonts w:ascii="Times New Roman" w:hAnsi="Times New Roman"/>
          <w:b/>
          <w:color w:val="282828"/>
          <w:sz w:val="22"/>
        </w:rPr>
        <w:t xml:space="preserve">Workflow Description: </w:t>
      </w:r>
      <w:r>
        <w:rPr>
          <w:rFonts w:ascii="Times New Roman" w:hAnsi="Times New Roman"/>
          <w:color w:val="282828"/>
          <w:sz w:val="22"/>
        </w:rPr>
        <w:t>The workflow begins with the user selecting the patient's blood group and component. The engine validates the selection against NBTC rules. If Bombay Blood Group is detected, the system branches into specialized isolation protocol. For standard groups, the engine determines all clinically compatible groups (e.g., O- for A-). The system queries the Gold serving database for centers holding stock &gt; 0, calculates composite scores based on available units and facility trust tier, and outputs the top-5 prioritized Smart Emergency Call List.</w:t>
      </w:r>
    </w:p>
    <w:p>
      <w:pPr>
        <w:keepNext/>
        <w:spacing w:before="240" w:after="120"/>
      </w:pPr>
      <w:r>
        <w:rPr>
          <w:rFonts w:ascii="Times New Roman" w:hAnsi="Times New Roman"/>
          <w:b/>
          <w:color w:val="1B365D"/>
          <w:sz w:val="27"/>
        </w:rPr>
        <w:t>4.5 UML Sequence Diagram (System Interaction Lifecycle)</w:t>
      </w:r>
    </w:p>
    <w:p>
      <w:pPr>
        <w:spacing w:after="120" w:line="276" w:lineRule="auto"/>
      </w:pPr>
      <w:r>
        <w:rPr>
          <w:rFonts w:ascii="Times New Roman" w:hAnsi="Times New Roman"/>
          <w:color w:val="282828"/>
          <w:sz w:val="22"/>
        </w:rPr>
        <w:t>The Sequence Diagram illustrates the chronological message exchange between system objects during an emergency lookup:</w:t>
      </w:r>
    </w:p>
    <w:p>
      <w:pPr>
        <w:spacing w:before="160" w:after="80"/>
        <w:jc w:val="center"/>
      </w:pPr>
      <w:r>
        <w:drawing>
          <wp:inline xmlns:a="http://schemas.openxmlformats.org/drawingml/2006/main" xmlns:pic="http://schemas.openxmlformats.org/drawingml/2006/picture">
            <wp:extent cx="5669280" cy="3634363"/>
            <wp:docPr id="8" name="Picture 8"/>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5669280" cy="3634363"/>
                    </a:xfrm>
                    <a:prstGeom prst="rect"/>
                  </pic:spPr>
                </pic:pic>
              </a:graphicData>
            </a:graphic>
          </wp:inline>
        </w:drawing>
      </w:r>
    </w:p>
    <w:p>
      <w:pPr>
        <w:keepNext w:val="0"/>
        <w:spacing w:before="40" w:after="240"/>
        <w:jc w:val="center"/>
      </w:pPr>
      <w:r>
        <w:rPr>
          <w:rFonts w:ascii="Times New Roman" w:hAnsi="Times New Roman"/>
          <w:b/>
          <w:i/>
          <w:color w:val="1B365D"/>
          <w:sz w:val="20"/>
        </w:rPr>
        <w:t>Figure 4.4: UML Sequence Diagram for Emergency Lookup Lifecycle</w:t>
      </w:r>
    </w:p>
    <w:p>
      <w:pPr>
        <w:spacing w:after="120" w:line="276" w:lineRule="auto"/>
      </w:pPr>
      <w:r>
        <w:rPr>
          <w:rFonts w:ascii="Times New Roman" w:hAnsi="Times New Roman"/>
          <w:b/>
          <w:color w:val="282828"/>
          <w:sz w:val="22"/>
        </w:rPr>
        <w:t xml:space="preserve">Lifecycle Walkthrough: </w:t>
      </w:r>
      <w:r>
        <w:rPr>
          <w:rFonts w:ascii="Times New Roman" w:hAnsi="Times New Roman"/>
          <w:color w:val="282828"/>
          <w:sz w:val="22"/>
        </w:rPr>
        <w:t>The Requester interacts with the Vanilla JS UI, which sends an asynchronous REST GET request to FastAPI's /api/emergency endpoint. FastAPI invokes the Medical Safety Matrix to expand compatible blood groups, executes a vectorized SQL query in DuckDB, passes the results through the Reliability Scoring service, and returns a structured JSON payload in &lt;12ms. The UI dynamically renders the interactive facility cards, telephonic click-to-call buttons, and map markers.</w:t>
      </w:r>
    </w:p>
    <w:p>
      <w:r>
        <w:br w:type="page"/>
      </w:r>
    </w:p>
    <w:p>
      <w:pPr>
        <w:keepNext/>
        <w:spacing w:before="320" w:after="160"/>
      </w:pPr>
      <w:r>
        <w:rPr>
          <w:rFonts w:ascii="Times New Roman" w:hAnsi="Times New Roman"/>
          <w:b/>
          <w:color w:val="C00000"/>
          <w:sz w:val="32"/>
        </w:rPr>
        <w:t>CHAPTER 5: SYSTEM DESIGN</w:t>
      </w:r>
    </w:p>
    <w:p>
      <w:pPr>
        <w:keepNext/>
        <w:spacing w:before="240" w:after="120"/>
      </w:pPr>
      <w:r>
        <w:rPr>
          <w:rFonts w:ascii="Times New Roman" w:hAnsi="Times New Roman"/>
          <w:b/>
          <w:color w:val="1B365D"/>
          <w:sz w:val="27"/>
        </w:rPr>
        <w:t>5.1 System Architecture Diagram</w:t>
      </w:r>
    </w:p>
    <w:p>
      <w:pPr>
        <w:spacing w:after="120" w:line="276" w:lineRule="auto"/>
      </w:pPr>
      <w:r>
        <w:rPr>
          <w:rFonts w:ascii="Times New Roman" w:hAnsi="Times New Roman"/>
          <w:color w:val="282828"/>
          <w:sz w:val="22"/>
        </w:rPr>
        <w:t>Raktsetu's architecture is structured into a 4-tier Medallion Lakehouse delivering high throughput, guaranteed data cleanliness, and sub-millisecond analytical serving:</w:t>
      </w:r>
    </w:p>
    <w:p>
      <w:pPr>
        <w:spacing w:before="160" w:after="80"/>
        <w:jc w:val="center"/>
      </w:pPr>
      <w:r>
        <w:drawing>
          <wp:inline xmlns:a="http://schemas.openxmlformats.org/drawingml/2006/main" xmlns:pic="http://schemas.openxmlformats.org/drawingml/2006/picture">
            <wp:extent cx="5669280" cy="4041346"/>
            <wp:docPr id="9" name="Picture 9"/>
            <wp:cNvGraphicFramePr>
              <a:graphicFrameLocks noChangeAspect="1"/>
            </wp:cNvGraphicFramePr>
            <a:graphic>
              <a:graphicData uri="http://schemas.openxmlformats.org/drawingml/2006/picture">
                <pic:pic>
                  <pic:nvPicPr>
                    <pic:cNvPr id="0" name="architecture_diagram.png"/>
                    <pic:cNvPicPr/>
                  </pic:nvPicPr>
                  <pic:blipFill>
                    <a:blip r:embed="rId16"/>
                    <a:stretch>
                      <a:fillRect/>
                    </a:stretch>
                  </pic:blipFill>
                  <pic:spPr>
                    <a:xfrm>
                      <a:off x="0" y="0"/>
                      <a:ext cx="5669280" cy="4041346"/>
                    </a:xfrm>
                    <a:prstGeom prst="rect"/>
                  </pic:spPr>
                </pic:pic>
              </a:graphicData>
            </a:graphic>
          </wp:inline>
        </w:drawing>
      </w:r>
    </w:p>
    <w:p>
      <w:pPr>
        <w:keepNext w:val="0"/>
        <w:spacing w:before="40" w:after="240"/>
        <w:jc w:val="center"/>
      </w:pPr>
      <w:r>
        <w:rPr>
          <w:rFonts w:ascii="Times New Roman" w:hAnsi="Times New Roman"/>
          <w:b/>
          <w:i/>
          <w:color w:val="1B365D"/>
          <w:sz w:val="20"/>
        </w:rPr>
        <w:t>Figure 5.1: 4-Tier Medallion Lakehouse System Architecture</w:t>
      </w:r>
    </w:p>
    <w:p>
      <w:pPr>
        <w:spacing w:after="120" w:line="276" w:lineRule="auto"/>
      </w:pPr>
      <w:r>
        <w:rPr>
          <w:rFonts w:ascii="Times New Roman" w:hAnsi="Times New Roman"/>
          <w:b/>
          <w:color w:val="282828"/>
          <w:sz w:val="22"/>
        </w:rPr>
        <w:t xml:space="preserve">Architectural Tiers: </w:t>
      </w:r>
      <w:r>
        <w:rPr>
          <w:rFonts w:ascii="Times New Roman" w:hAnsi="Times New Roman"/>
          <w:color w:val="282828"/>
          <w:sz w:val="22"/>
        </w:rPr>
        <w:t>1. Tier 1: Asynchronous Data Ingestion Layer: Python aiohttp scraper with non-blocking rate pacing harvests raw HTML/JSON from national eRaktKosh endpoints.</w:t>
        <w:br/>
        <w:t>2. Tier 2: Storage &amp; Transformation Layer (DuckDB + dbt): Implements Bronze raw landing, Silver normalized staging, and Gold dimensional star schemas.</w:t>
        <w:br/>
        <w:t>3. Tier 3: Dual-Database Quality Gate: Automated dbt data tests and schema invariant checks validate the isolated build database before atomic promotion.</w:t>
        <w:br/>
        <w:t>4. Tier 4: Analytical Serving &amp; Presentation Layer: FastAPI REST microservice serves the Vanilla JS frontend, Leaflet GIS mapping, and Chart.js trends.</w:t>
      </w:r>
    </w:p>
    <w:p>
      <w:pPr>
        <w:keepNext/>
        <w:spacing w:before="240" w:after="120"/>
      </w:pPr>
      <w:r>
        <w:rPr>
          <w:rFonts w:ascii="Times New Roman" w:hAnsi="Times New Roman"/>
          <w:b/>
          <w:color w:val="1B365D"/>
          <w:sz w:val="27"/>
        </w:rPr>
        <w:t>5.2 Data Dictionary (8 Relational Lakehouse Schemas)</w:t>
      </w:r>
    </w:p>
    <w:p>
      <w:pPr>
        <w:spacing w:after="120" w:line="276" w:lineRule="auto"/>
      </w:pPr>
      <w:r>
        <w:rPr>
          <w:rFonts w:ascii="Times New Roman" w:hAnsi="Times New Roman"/>
          <w:color w:val="282828"/>
          <w:sz w:val="22"/>
        </w:rPr>
        <w:t>The database design consists of 8 precisely defined schemas spanning Bronze, Silver, and Gold tiers in DuckDB:</w:t>
      </w:r>
    </w:p>
    <w:p>
      <w:pPr>
        <w:keepNext/>
        <w:spacing w:before="160" w:after="80"/>
      </w:pPr>
      <w:r>
        <w:rPr>
          <w:rFonts w:ascii="Times New Roman" w:hAnsi="Times New Roman"/>
          <w:b/>
          <w:color w:val="282828"/>
          <w:sz w:val="24"/>
        </w:rPr>
        <w:t>Table 5.1: bronze.raw_blood_inventory (Raw Scraped Payload)</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Field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Data Type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Constraints / Key</w:t>
            </w:r>
          </w:p>
        </w:tc>
        <w:tc>
          <w:tcPr>
            <w:tcW w:type="dxa" w:w="4320"/>
            <w:shd w:fill="D8D8D8"/>
            <w:tcMar>
              <w:top w:w="120" w:type="dxa"/>
              <w:bottom w:w="120" w:type="dxa"/>
              <w:left w:w="140" w:type="dxa"/>
              <w:right w:w="140" w:type="dxa"/>
            </w:tcMar>
          </w:tcPr>
          <w:p>
            <w:pPr>
              <w:jc w:val="center"/>
            </w:pPr>
            <w:r>
              <w:rPr>
                <w:rFonts w:ascii="Times New Roman" w:hAnsi="Times New Roman"/>
                <w:b/>
                <w:color w:val="1B365D"/>
                <w:sz w:val="20"/>
              </w:rPr>
              <w:t>Description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ingest_id</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PRIMARY KEY</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Unique UUID generated per scraper batch execution.</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state_name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Name of the state or union territory harvested.</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district_name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District name as extracted from source portal.</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blood_bank_name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Raw facility name, uncleaned.</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raw_html_payload</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Complete unparsed HTML/JSON line item payload.</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scraped_at</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TIMESTAMP</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UTC timestamp when the web scraper harvested the record.</w:t>
            </w:r>
          </w:p>
        </w:tc>
      </w:tr>
    </w:tbl>
    <w:p>
      <w:pPr>
        <w:spacing w:after="120"/>
      </w:pPr>
    </w:p>
    <w:p>
      <w:pPr>
        <w:keepNext/>
        <w:spacing w:before="160" w:after="80"/>
      </w:pPr>
      <w:r>
        <w:rPr>
          <w:rFonts w:ascii="Times New Roman" w:hAnsi="Times New Roman"/>
          <w:b/>
          <w:color w:val="282828"/>
          <w:sz w:val="24"/>
        </w:rPr>
        <w:t>Table 5.2: silver.stg_blood_banks (Cleaned Facility Entity)</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Field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Data Type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Constraints / Key</w:t>
            </w:r>
          </w:p>
        </w:tc>
        <w:tc>
          <w:tcPr>
            <w:tcW w:type="dxa" w:w="4320"/>
            <w:shd w:fill="D8D8D8"/>
            <w:tcMar>
              <w:top w:w="120" w:type="dxa"/>
              <w:bottom w:w="120" w:type="dxa"/>
              <w:left w:w="140" w:type="dxa"/>
              <w:right w:w="140" w:type="dxa"/>
            </w:tcMar>
          </w:tcPr>
          <w:p>
            <w:pPr>
              <w:jc w:val="center"/>
            </w:pPr>
            <w:r>
              <w:rPr>
                <w:rFonts w:ascii="Times New Roman" w:hAnsi="Times New Roman"/>
                <w:b/>
                <w:color w:val="1B365D"/>
                <w:sz w:val="20"/>
              </w:rPr>
              <w:t>Description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blood_bank_id</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PRIMARY KEY</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Deterministic SHA-256 hash of normalized facility name &amp; district.</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blood_bank_name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Normalized facility name with excess whitespace and symbols stripped.</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state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Standardized state name.</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district</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Standardized district name.</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category</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NULLABLE</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Government, Red Cross, Trust, or Private Commercial.</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contact_phone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NULLABLE</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Standardized 10-digit Indian phone number or landline with STD.</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latitude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NULLABLE</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Verified latitude coordinate (bounded between 6.0 and 38.0).</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longitude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NULLABLE</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Verified longitude coordinate (bounded between 68.0 and 98.0).</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last_updated_at</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TIMESTAMP</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Source portal reported timestamp of last stock modification.</w:t>
            </w:r>
          </w:p>
        </w:tc>
      </w:tr>
    </w:tbl>
    <w:p>
      <w:pPr>
        <w:spacing w:after="120"/>
      </w:pPr>
    </w:p>
    <w:p>
      <w:pPr>
        <w:keepNext/>
        <w:spacing w:before="160" w:after="80"/>
      </w:pPr>
      <w:r>
        <w:rPr>
          <w:rFonts w:ascii="Times New Roman" w:hAnsi="Times New Roman"/>
          <w:b/>
          <w:color w:val="282828"/>
          <w:sz w:val="24"/>
        </w:rPr>
        <w:t>Table 5.3: silver.stg_inventory_components (Normalized Inventory Line Items)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Field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Data Type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Constraints / Key</w:t>
            </w:r>
          </w:p>
        </w:tc>
        <w:tc>
          <w:tcPr>
            <w:tcW w:type="dxa" w:w="4320"/>
            <w:shd w:fill="D8D8D8"/>
            <w:tcMar>
              <w:top w:w="120" w:type="dxa"/>
              <w:bottom w:w="120" w:type="dxa"/>
              <w:left w:w="140" w:type="dxa"/>
              <w:right w:w="140" w:type="dxa"/>
            </w:tcMar>
          </w:tcPr>
          <w:p>
            <w:pPr>
              <w:jc w:val="center"/>
            </w:pPr>
            <w:r>
              <w:rPr>
                <w:rFonts w:ascii="Times New Roman" w:hAnsi="Times New Roman"/>
                <w:b/>
                <w:color w:val="1B365D"/>
                <w:sz w:val="20"/>
              </w:rPr>
              <w:t>Description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component_id</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PRIMARY KEY</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Synthetic unique key for each inventory line item.</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blood_bank_id</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FOREIGN KEY</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References silver.stg_blood_banks(blood_bank_id).</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blood_group</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ABO/Rh group (A+, A-, B+, B-, AB+, AB-, O+, O-, Oh).</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component_type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Whole Blood, Packed Red Cells, FFP, Platelets, or Cryo.</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available_units</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INTEGER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CHECK (units &gt;= 0)</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Number of usable units in stock.</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status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'Available' if units &gt; 0, else 'Unavailable'.</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snapshot_date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DATE</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Calendar date of the snapshot recording.</w:t>
            </w:r>
          </w:p>
        </w:tc>
      </w:tr>
    </w:tbl>
    <w:p>
      <w:pPr>
        <w:spacing w:after="120"/>
      </w:pPr>
    </w:p>
    <w:p>
      <w:pPr>
        <w:keepNext/>
        <w:spacing w:before="160" w:after="80"/>
      </w:pPr>
      <w:r>
        <w:rPr>
          <w:rFonts w:ascii="Times New Roman" w:hAnsi="Times New Roman"/>
          <w:b/>
          <w:color w:val="282828"/>
          <w:sz w:val="24"/>
        </w:rPr>
        <w:t>Table 5.4: gold.dim_blood_banks (Facility Dimension Mart)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Field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Data Type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Constraints / Key</w:t>
            </w:r>
          </w:p>
        </w:tc>
        <w:tc>
          <w:tcPr>
            <w:tcW w:type="dxa" w:w="4320"/>
            <w:shd w:fill="D8D8D8"/>
            <w:tcMar>
              <w:top w:w="120" w:type="dxa"/>
              <w:bottom w:w="120" w:type="dxa"/>
              <w:left w:w="140" w:type="dxa"/>
              <w:right w:w="140" w:type="dxa"/>
            </w:tcMar>
          </w:tcPr>
          <w:p>
            <w:pPr>
              <w:jc w:val="center"/>
            </w:pPr>
            <w:r>
              <w:rPr>
                <w:rFonts w:ascii="Times New Roman" w:hAnsi="Times New Roman"/>
                <w:b/>
                <w:color w:val="1B365D"/>
                <w:sz w:val="20"/>
              </w:rPr>
              <w:t>Description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bank_key</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BIGINT</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PRIMARY KEY</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Surrogate integer primary key for dimensional star schema.</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blood_bank_id</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UNIQUE, 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Natural business identifier matching silver layer.</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facility_name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Formal display name of the blood bank.</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state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State name for regional filtering.</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district</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District name for localized triage.</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category</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Categorical classification (Govt/Private/Trust/RedCross).</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contact_number</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NULLABLE</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Verified telephone number for emergency click-to-call.</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geo_lat</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Geographic latitude for Leaflet marker plotting.</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geo_lon</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Geographic longitude for Leaflet marker plotting.</w:t>
            </w:r>
          </w:p>
        </w:tc>
      </w:tr>
    </w:tbl>
    <w:p>
      <w:pPr>
        <w:spacing w:after="120"/>
      </w:pPr>
    </w:p>
    <w:p>
      <w:pPr>
        <w:keepNext/>
        <w:spacing w:before="160" w:after="80"/>
      </w:pPr>
      <w:r>
        <w:rPr>
          <w:rFonts w:ascii="Times New Roman" w:hAnsi="Times New Roman"/>
          <w:b/>
          <w:color w:val="282828"/>
          <w:sz w:val="24"/>
        </w:rPr>
        <w:t>Table 5.5: gold.fct_stock_current (Current Live Stock Fact)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Field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Data Type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Constraints / Key</w:t>
            </w:r>
          </w:p>
        </w:tc>
        <w:tc>
          <w:tcPr>
            <w:tcW w:type="dxa" w:w="4320"/>
            <w:shd w:fill="D8D8D8"/>
            <w:tcMar>
              <w:top w:w="120" w:type="dxa"/>
              <w:bottom w:w="120" w:type="dxa"/>
              <w:left w:w="140" w:type="dxa"/>
              <w:right w:w="140" w:type="dxa"/>
            </w:tcMar>
          </w:tcPr>
          <w:p>
            <w:pPr>
              <w:jc w:val="center"/>
            </w:pPr>
            <w:r>
              <w:rPr>
                <w:rFonts w:ascii="Times New Roman" w:hAnsi="Times New Roman"/>
                <w:b/>
                <w:color w:val="1B365D"/>
                <w:sz w:val="20"/>
              </w:rPr>
              <w:t>Description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fact_id</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BIGINT</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PRIMARY KEY</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Surrogate fact identifier.</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bank_key</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BIGINT</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FOREIGN KEY</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References gold.dim_blood_banks(bank_key).</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blood_group</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Standard ABO/Rh blood group string.</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component_type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Component specification.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units_in_stock</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INTEGER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CHECK (units &gt;= 0)</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Verified current units count.</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is_available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BOOLEAN</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True if units_in_stock &gt; 0, else False.</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last_synced_at</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TIMESTAMP</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Timestamp when record was verified through quality gate.</w:t>
            </w:r>
          </w:p>
        </w:tc>
      </w:tr>
    </w:tbl>
    <w:p>
      <w:pPr>
        <w:spacing w:after="120"/>
      </w:pPr>
    </w:p>
    <w:p>
      <w:pPr>
        <w:keepNext/>
        <w:spacing w:before="160" w:after="80"/>
      </w:pPr>
      <w:r>
        <w:rPr>
          <w:rFonts w:ascii="Times New Roman" w:hAnsi="Times New Roman"/>
          <w:b/>
          <w:color w:val="282828"/>
          <w:sz w:val="24"/>
        </w:rPr>
        <w:t>Table 5.6: gold.mart_reliability_score (3-Pillar Facility Trust Mart)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Field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Data Type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Constraints / Key</w:t>
            </w:r>
          </w:p>
        </w:tc>
        <w:tc>
          <w:tcPr>
            <w:tcW w:type="dxa" w:w="4320"/>
            <w:shd w:fill="D8D8D8"/>
            <w:tcMar>
              <w:top w:w="120" w:type="dxa"/>
              <w:bottom w:w="120" w:type="dxa"/>
              <w:left w:w="140" w:type="dxa"/>
              <w:right w:w="140" w:type="dxa"/>
            </w:tcMar>
          </w:tcPr>
          <w:p>
            <w:pPr>
              <w:jc w:val="center"/>
            </w:pPr>
            <w:r>
              <w:rPr>
                <w:rFonts w:ascii="Times New Roman" w:hAnsi="Times New Roman"/>
                <w:b/>
                <w:color w:val="1B365D"/>
                <w:sz w:val="20"/>
              </w:rPr>
              <w:t>Description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bank_key</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BIGINT</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PRIMARY KEY</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References gold.dim_blood_banks(bank_key).</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freshness_score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CHECK (0 TO 100)</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Score measuring hours elapsed since last update.</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completeness_score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CHECK (0 TO 100)</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Score measuring presence of all blood groups and components.</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frequency_score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CHECK (0 TO 100)</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Score measuring 30-day update consistency.</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total_trust_score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CHECK (0 TO 100)</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Weighted composite score: 0.4*F + 0.35*C + 0.25*Cadence.</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trust_tier</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'High (Verified)', 'Moderate', or 'Caution'.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calculated_at</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TIMESTAMP</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Timestamp of trust score computation.</w:t>
            </w:r>
          </w:p>
        </w:tc>
      </w:tr>
    </w:tbl>
    <w:p>
      <w:pPr>
        <w:spacing w:after="120"/>
      </w:pPr>
    </w:p>
    <w:p>
      <w:pPr>
        <w:keepNext/>
        <w:spacing w:before="160" w:after="80"/>
      </w:pPr>
      <w:r>
        <w:rPr>
          <w:rFonts w:ascii="Times New Roman" w:hAnsi="Times New Roman"/>
          <w:b/>
          <w:color w:val="282828"/>
          <w:sz w:val="24"/>
        </w:rPr>
        <w:t>Table 5.7: gold.mart_district_status (District Deficit Mart)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Field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Data Type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Constraints / Key</w:t>
            </w:r>
          </w:p>
        </w:tc>
        <w:tc>
          <w:tcPr>
            <w:tcW w:type="dxa" w:w="4320"/>
            <w:shd w:fill="D8D8D8"/>
            <w:tcMar>
              <w:top w:w="120" w:type="dxa"/>
              <w:bottom w:w="120" w:type="dxa"/>
              <w:left w:w="140" w:type="dxa"/>
              <w:right w:w="140" w:type="dxa"/>
            </w:tcMar>
          </w:tcPr>
          <w:p>
            <w:pPr>
              <w:jc w:val="center"/>
            </w:pPr>
            <w:r>
              <w:rPr>
                <w:rFonts w:ascii="Times New Roman" w:hAnsi="Times New Roman"/>
                <w:b/>
                <w:color w:val="1B365D"/>
                <w:sz w:val="20"/>
              </w:rPr>
              <w:t>Description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district_id</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PRIMARY KEY</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Unique composite identifier (state_name:district_name).</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state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State name.</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district</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District name.</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total_active_centers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INTEGER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Count of operational blood banks in the district.</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total_units_available</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INTEGER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Sum of all available blood units in the district.</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deficit_severity</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'Critical Shortage' (&lt;10 units), 'Moderate Deficit', 'Healthy'.</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dominant_scarce_group</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NULLABLE</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Blood group with greatest supply shortfall in the district.</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updated_at</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TIMESTAMP</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Timestamp of mart aggregation.</w:t>
            </w:r>
          </w:p>
        </w:tc>
      </w:tr>
    </w:tbl>
    <w:p>
      <w:pPr>
        <w:spacing w:after="120"/>
      </w:pPr>
    </w:p>
    <w:p>
      <w:pPr>
        <w:keepNext/>
        <w:spacing w:before="160" w:after="80"/>
      </w:pPr>
      <w:r>
        <w:rPr>
          <w:rFonts w:ascii="Times New Roman" w:hAnsi="Times New Roman"/>
          <w:b/>
          <w:color w:val="282828"/>
          <w:sz w:val="24"/>
        </w:rPr>
        <w:t>Table 5.8: gold.mart_stock_change (Historical Velocity Mart)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38"/>
        <w:gridCol w:w="2538"/>
        <w:gridCol w:w="2538"/>
        <w:gridCol w:w="2538"/>
      </w:tblGrid>
      <w:tr>
        <w:trPr>
          <w:cantSplit/>
        </w:trPr>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Field Name</w:t>
            </w:r>
          </w:p>
        </w:tc>
        <w:tc>
          <w:tcPr>
            <w:tcW w:type="dxa" w:w="1296"/>
            <w:shd w:fill="D8D8D8"/>
            <w:tcMar>
              <w:top w:w="120" w:type="dxa"/>
              <w:bottom w:w="120" w:type="dxa"/>
              <w:left w:w="140" w:type="dxa"/>
              <w:right w:w="140" w:type="dxa"/>
            </w:tcMar>
          </w:tcPr>
          <w:p>
            <w:pPr>
              <w:jc w:val="center"/>
            </w:pPr>
            <w:r>
              <w:rPr>
                <w:rFonts w:ascii="Times New Roman" w:hAnsi="Times New Roman"/>
                <w:b/>
                <w:color w:val="1B365D"/>
                <w:sz w:val="20"/>
              </w:rPr>
              <w:t>Data Type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Constraints / Key</w:t>
            </w:r>
          </w:p>
        </w:tc>
        <w:tc>
          <w:tcPr>
            <w:tcW w:type="dxa" w:w="4320"/>
            <w:shd w:fill="D8D8D8"/>
            <w:tcMar>
              <w:top w:w="120" w:type="dxa"/>
              <w:bottom w:w="120" w:type="dxa"/>
              <w:left w:w="140" w:type="dxa"/>
              <w:right w:w="140" w:type="dxa"/>
            </w:tcMar>
          </w:tcPr>
          <w:p>
            <w:pPr>
              <w:jc w:val="center"/>
            </w:pPr>
            <w:r>
              <w:rPr>
                <w:rFonts w:ascii="Times New Roman" w:hAnsi="Times New Roman"/>
                <w:b/>
                <w:color w:val="1B365D"/>
                <w:sz w:val="20"/>
              </w:rPr>
              <w:t>Description</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change_id</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BIGINT</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PRIMARY KEY</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Surrogate change tracking identifier.</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bank_key</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BIGINT</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FOREIGN KEY</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References gold.dim_blood_banks(bank_key).</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blood_group</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VARCHAR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Blood group analyzed.</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units_previous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INTEGER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Units count at previous snapshot date.</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units_current</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INTEGER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Units count at current snapshot date.</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net_change</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INTEGER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Delta: units_current - units_previous.</w:t>
            </w:r>
          </w:p>
        </w:tc>
      </w:tr>
      <w:tr>
        <w:trPr>
          <w:cantSplit/>
        </w:trPr>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depletion_velocity</w:t>
            </w:r>
          </w:p>
        </w:tc>
        <w:tc>
          <w:tcPr>
            <w:tcW w:type="dxa" w:w="1296"/>
            <w:shd w:fill="FFFFFF"/>
            <w:tcMar>
              <w:top w:w="80" w:type="dxa"/>
              <w:bottom w:w="80" w:type="dxa"/>
              <w:left w:w="120" w:type="dxa"/>
              <w:right w:w="120" w:type="dxa"/>
            </w:tcMar>
          </w:tcPr>
          <w:p>
            <w:pPr>
              <w:spacing w:line="276" w:lineRule="auto"/>
            </w:pPr>
            <w:r>
              <w:rPr>
                <w:rFonts w:ascii="Times New Roman" w:hAnsi="Times New Roman"/>
                <w:color w:val="282828"/>
                <w:sz w:val="19"/>
              </w:rPr>
              <w:t>DOUBLE</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FFFFF"/>
            <w:tcMar>
              <w:top w:w="80" w:type="dxa"/>
              <w:bottom w:w="80" w:type="dxa"/>
              <w:left w:w="120" w:type="dxa"/>
              <w:right w:w="120" w:type="dxa"/>
            </w:tcMar>
          </w:tcPr>
          <w:p>
            <w:pPr>
              <w:spacing w:line="276" w:lineRule="auto"/>
            </w:pPr>
            <w:r>
              <w:rPr>
                <w:rFonts w:ascii="Times New Roman" w:hAnsi="Times New Roman"/>
                <w:color w:val="282828"/>
                <w:sz w:val="19"/>
              </w:rPr>
              <w:t>Rate of unit depletion per day.</w:t>
            </w:r>
          </w:p>
        </w:tc>
      </w:tr>
      <w:tr>
        <w:trPr>
          <w:cantSplit/>
        </w:trPr>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snapshot_interval_days</w:t>
            </w:r>
          </w:p>
        </w:tc>
        <w:tc>
          <w:tcPr>
            <w:tcW w:type="dxa" w:w="1296"/>
            <w:shd w:fill="F9FAFB"/>
            <w:tcMar>
              <w:top w:w="80" w:type="dxa"/>
              <w:bottom w:w="80" w:type="dxa"/>
              <w:left w:w="120" w:type="dxa"/>
              <w:right w:w="120" w:type="dxa"/>
            </w:tcMar>
          </w:tcPr>
          <w:p>
            <w:pPr>
              <w:spacing w:line="276" w:lineRule="auto"/>
            </w:pPr>
            <w:r>
              <w:rPr>
                <w:rFonts w:ascii="Times New Roman" w:hAnsi="Times New Roman"/>
                <w:color w:val="282828"/>
                <w:sz w:val="19"/>
              </w:rPr>
              <w:t>INTEGER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NOT NULL</w:t>
            </w:r>
          </w:p>
        </w:tc>
        <w:tc>
          <w:tcPr>
            <w:tcW w:type="dxa" w:w="4320"/>
            <w:shd w:fill="F9FAFB"/>
            <w:tcMar>
              <w:top w:w="80" w:type="dxa"/>
              <w:bottom w:w="80" w:type="dxa"/>
              <w:left w:w="120" w:type="dxa"/>
              <w:right w:w="120" w:type="dxa"/>
            </w:tcMar>
          </w:tcPr>
          <w:p>
            <w:pPr>
              <w:spacing w:line="276" w:lineRule="auto"/>
            </w:pPr>
            <w:r>
              <w:rPr>
                <w:rFonts w:ascii="Times New Roman" w:hAnsi="Times New Roman"/>
                <w:color w:val="282828"/>
                <w:sz w:val="19"/>
              </w:rPr>
              <w:t>Number of days elapsed between compared snapshots.</w:t>
            </w:r>
          </w:p>
        </w:tc>
      </w:tr>
    </w:tbl>
    <w:p>
      <w:pPr>
        <w:spacing w:after="120"/>
      </w:pPr>
    </w:p>
    <w:p>
      <w:pPr>
        <w:keepNext/>
        <w:spacing w:before="240" w:after="120"/>
      </w:pPr>
      <w:r>
        <w:rPr>
          <w:rFonts w:ascii="Times New Roman" w:hAnsi="Times New Roman"/>
          <w:b/>
          <w:color w:val="1B365D"/>
          <w:sz w:val="27"/>
        </w:rPr>
        <w:t>5.3 Screen Layouts (13 Production UI Walkthroughs)</w:t>
      </w:r>
    </w:p>
    <w:p>
      <w:pPr>
        <w:spacing w:after="120" w:line="276" w:lineRule="auto"/>
      </w:pPr>
      <w:r>
        <w:rPr>
          <w:rFonts w:ascii="Times New Roman" w:hAnsi="Times New Roman"/>
          <w:color w:val="282828"/>
          <w:sz w:val="22"/>
        </w:rPr>
        <w:t>The following section presents the live production user interface of Raktsetu, showcasing the clinical aesthetics, interactive visualizations, and responsive emergency triage layouts:</w:t>
      </w:r>
    </w:p>
    <w:p>
      <w:pPr>
        <w:spacing w:before="160" w:after="80"/>
        <w:jc w:val="center"/>
      </w:pPr>
      <w:r>
        <w:drawing>
          <wp:inline xmlns:a="http://schemas.openxmlformats.org/drawingml/2006/main" xmlns:pic="http://schemas.openxmlformats.org/drawingml/2006/picture">
            <wp:extent cx="5486400" cy="3857625"/>
            <wp:docPr id="10" name="Picture 10"/>
            <wp:cNvGraphicFramePr>
              <a:graphicFrameLocks noChangeAspect="1"/>
            </wp:cNvGraphicFramePr>
            <a:graphic>
              <a:graphicData uri="http://schemas.openxmlformats.org/drawingml/2006/picture">
                <pic:pic>
                  <pic:nvPicPr>
                    <pic:cNvPr id="0" name="01_home_hero_stats.png"/>
                    <pic:cNvPicPr/>
                  </pic:nvPicPr>
                  <pic:blipFill>
                    <a:blip r:embed="rId17"/>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5.2: National Blood Inventory Hero Dashboard with Live Metrics</w:t>
      </w:r>
    </w:p>
    <w:p>
      <w:pPr>
        <w:spacing w:after="200" w:line="276" w:lineRule="auto"/>
      </w:pPr>
      <w:r>
        <w:rPr>
          <w:rFonts w:ascii="Times New Roman" w:hAnsi="Times New Roman"/>
          <w:color w:val="282828"/>
          <w:sz w:val="22"/>
        </w:rPr>
        <w:t>The home screen displays live national telemetry, including total registered facilities, verified units available, monitored districts, and pipeline status. Prominent search controls allow immediate filtering by state, district, and blood group.</w:t>
      </w:r>
    </w:p>
    <w:p>
      <w:pPr>
        <w:spacing w:before="160" w:after="80"/>
        <w:jc w:val="center"/>
      </w:pPr>
      <w:r>
        <w:drawing>
          <wp:inline xmlns:a="http://schemas.openxmlformats.org/drawingml/2006/main" xmlns:pic="http://schemas.openxmlformats.org/drawingml/2006/picture">
            <wp:extent cx="5486400" cy="3722914"/>
            <wp:docPr id="11" name="Picture 11"/>
            <wp:cNvGraphicFramePr>
              <a:graphicFrameLocks noChangeAspect="1"/>
            </wp:cNvGraphicFramePr>
            <a:graphic>
              <a:graphicData uri="http://schemas.openxmlformats.org/drawingml/2006/picture">
                <pic:pic>
                  <pic:nvPicPr>
                    <pic:cNvPr id="0" name="01_light_theme_dashboard.png"/>
                    <pic:cNvPicPr/>
                  </pic:nvPicPr>
                  <pic:blipFill>
                    <a:blip r:embed="rId18"/>
                    <a:stretch>
                      <a:fillRect/>
                    </a:stretch>
                  </pic:blipFill>
                  <pic:spPr>
                    <a:xfrm>
                      <a:off x="0" y="0"/>
                      <a:ext cx="5486400" cy="3722914"/>
                    </a:xfrm>
                    <a:prstGeom prst="rect"/>
                  </pic:spPr>
                </pic:pic>
              </a:graphicData>
            </a:graphic>
          </wp:inline>
        </w:drawing>
      </w:r>
    </w:p>
    <w:p>
      <w:pPr>
        <w:keepNext w:val="0"/>
        <w:spacing w:before="40" w:after="240"/>
        <w:jc w:val="center"/>
      </w:pPr>
      <w:r>
        <w:rPr>
          <w:rFonts w:ascii="Times New Roman" w:hAnsi="Times New Roman"/>
          <w:b/>
          <w:i/>
          <w:color w:val="1B365D"/>
          <w:sz w:val="20"/>
        </w:rPr>
        <w:t>Figure 5.3: Specialized Clinical Light Theme for Hospital Triage Desks</w:t>
      </w:r>
    </w:p>
    <w:p>
      <w:pPr>
        <w:spacing w:after="200" w:line="276" w:lineRule="auto"/>
      </w:pPr>
      <w:r>
        <w:rPr>
          <w:rFonts w:ascii="Times New Roman" w:hAnsi="Times New Roman"/>
          <w:color w:val="282828"/>
          <w:sz w:val="22"/>
        </w:rPr>
        <w:t>Designed specifically for daytime hospital environments and clinical emergency rooms, the Clinical Light Theme delivers maximum contrast with clean ivory surfaces, distinct crimson badges, and crisp typographic hierarchy.</w:t>
      </w:r>
    </w:p>
    <w:p>
      <w:pPr>
        <w:spacing w:before="160" w:after="80"/>
        <w:jc w:val="center"/>
      </w:pPr>
      <w: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02_new_design_cards_grid.png"/>
                    <pic:cNvPicPr/>
                  </pic:nvPicPr>
                  <pic:blipFill>
                    <a:blip r:embed="rId19"/>
                    <a:stretch>
                      <a:fillRect/>
                    </a:stretch>
                  </pic:blipFill>
                  <pic:spPr>
                    <a:xfrm>
                      <a:off x="0" y="0"/>
                      <a:ext cx="5486400" cy="4114800"/>
                    </a:xfrm>
                    <a:prstGeom prst="rect"/>
                  </pic:spPr>
                </pic:pic>
              </a:graphicData>
            </a:graphic>
          </wp:inline>
        </w:drawing>
      </w:r>
    </w:p>
    <w:p>
      <w:pPr>
        <w:keepNext w:val="0"/>
        <w:spacing w:before="40" w:after="240"/>
        <w:jc w:val="center"/>
      </w:pPr>
      <w:r>
        <w:rPr>
          <w:rFonts w:ascii="Times New Roman" w:hAnsi="Times New Roman"/>
          <w:b/>
          <w:i/>
          <w:color w:val="1B365D"/>
          <w:sz w:val="20"/>
        </w:rPr>
        <w:t>Figure 5.4: Facility Search Results Grid (Anand District Clinical View)</w:t>
      </w:r>
    </w:p>
    <w:p>
      <w:pPr>
        <w:spacing w:after="200" w:line="276" w:lineRule="auto"/>
      </w:pPr>
      <w:r>
        <w:rPr>
          <w:rFonts w:ascii="Times New Roman" w:hAnsi="Times New Roman"/>
          <w:color w:val="282828"/>
          <w:sz w:val="22"/>
        </w:rPr>
        <w:t>Results display each facility's operational classification (Red Cross, Government, Trust), verified contact numbers, exact units in stock by component, distance indicators, and a prominent 3-Pillar Trust Score badge.</w:t>
      </w:r>
    </w:p>
    <w:p>
      <w:pPr>
        <w:spacing w:before="160" w:after="80"/>
        <w:jc w:val="center"/>
      </w:pPr>
      <w:r>
        <w:drawing>
          <wp:inline xmlns:a="http://schemas.openxmlformats.org/drawingml/2006/main" xmlns:pic="http://schemas.openxmlformats.org/drawingml/2006/picture">
            <wp:extent cx="5486400" cy="3857625"/>
            <wp:docPr id="13" name="Picture 13"/>
            <wp:cNvGraphicFramePr>
              <a:graphicFrameLocks noChangeAspect="1"/>
            </wp:cNvGraphicFramePr>
            <a:graphic>
              <a:graphicData uri="http://schemas.openxmlformats.org/drawingml/2006/picture">
                <pic:pic>
                  <pic:nvPicPr>
                    <pic:cNvPr id="0" name="02_trust_score_modal.png"/>
                    <pic:cNvPicPr/>
                  </pic:nvPicPr>
                  <pic:blipFill>
                    <a:blip r:embed="rId20"/>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5.5: 3-Pillar Facility Reliability Score Breakdown Modal</w:t>
      </w:r>
    </w:p>
    <w:p>
      <w:pPr>
        <w:spacing w:after="200" w:line="276" w:lineRule="auto"/>
      </w:pPr>
      <w:r>
        <w:rPr>
          <w:rFonts w:ascii="Times New Roman" w:hAnsi="Times New Roman"/>
          <w:color w:val="282828"/>
          <w:sz w:val="22"/>
        </w:rPr>
        <w:t>Clicking on any facility trust badge opens an audited breakdown detailing the Freshness Pillar (update age), Completeness Pillar (reporting breadth), and Frequency Pillar (cadence), fostering absolute public transparency.</w:t>
      </w:r>
    </w:p>
    <w:p>
      <w:pPr>
        <w:spacing w:before="160" w:after="80"/>
        <w:jc w:val="center"/>
      </w:pPr>
      <w:r>
        <w:drawing>
          <wp:inline xmlns:a="http://schemas.openxmlformats.org/drawingml/2006/main" xmlns:pic="http://schemas.openxmlformats.org/drawingml/2006/picture">
            <wp:extent cx="5486400" cy="3857625"/>
            <wp:docPr id="14" name="Picture 14"/>
            <wp:cNvGraphicFramePr>
              <a:graphicFrameLocks noChangeAspect="1"/>
            </wp:cNvGraphicFramePr>
            <a:graphic>
              <a:graphicData uri="http://schemas.openxmlformats.org/drawingml/2006/picture">
                <pic:pic>
                  <pic:nvPicPr>
                    <pic:cNvPr id="0" name="03_smart_emergency_call_list.png"/>
                    <pic:cNvPicPr/>
                  </pic:nvPicPr>
                  <pic:blipFill>
                    <a:blip r:embed="rId21"/>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5.6: Smart Emergency Call List with Automated Compatibility Triage</w:t>
      </w:r>
    </w:p>
    <w:p>
      <w:pPr>
        <w:spacing w:after="200" w:line="276" w:lineRule="auto"/>
      </w:pPr>
      <w:r>
        <w:rPr>
          <w:rFonts w:ascii="Times New Roman" w:hAnsi="Times New Roman"/>
          <w:color w:val="282828"/>
          <w:sz w:val="22"/>
        </w:rPr>
        <w:t>In Emergency Mode, the system filters blood centers by available compatible units and trust tier, presenting attendants with a prioritized calling sequence featuring 1-click telephonic dialing to eliminate fatal search delays.</w:t>
      </w:r>
    </w:p>
    <w:p>
      <w:pPr>
        <w:spacing w:before="160" w:after="80"/>
        <w:jc w:val="center"/>
      </w:pPr>
      <w:r>
        <w:drawing>
          <wp:inline xmlns:a="http://schemas.openxmlformats.org/drawingml/2006/main" xmlns:pic="http://schemas.openxmlformats.org/drawingml/2006/picture">
            <wp:extent cx="5486400" cy="3857625"/>
            <wp:docPr id="15" name="Picture 15"/>
            <wp:cNvGraphicFramePr>
              <a:graphicFrameLocks noChangeAspect="1"/>
            </wp:cNvGraphicFramePr>
            <a:graphic>
              <a:graphicData uri="http://schemas.openxmlformats.org/drawingml/2006/picture">
                <pic:pic>
                  <pic:nvPicPr>
                    <pic:cNvPr id="0" name="03_history_trend_modal.png"/>
                    <pic:cNvPicPr/>
                  </pic:nvPicPr>
                  <pic:blipFill>
                    <a:blip r:embed="rId22"/>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5.7: Historical Inventory Trend &amp; Stock Depletion Velocity Modal</w:t>
      </w:r>
    </w:p>
    <w:p>
      <w:pPr>
        <w:spacing w:after="200" w:line="276" w:lineRule="auto"/>
      </w:pPr>
      <w:r>
        <w:rPr>
          <w:rFonts w:ascii="Times New Roman" w:hAnsi="Times New Roman"/>
          <w:color w:val="282828"/>
          <w:sz w:val="22"/>
        </w:rPr>
        <w:t>An interactive Chart.js modal rendering historical unit accumulation and depletion trajectories across daily snapshots, empowering hospital administrators to forecast stock run-outs before shortages occur.</w:t>
      </w:r>
    </w:p>
    <w:p>
      <w:pPr>
        <w:spacing w:before="160" w:after="80"/>
        <w:jc w:val="center"/>
      </w:pPr>
      <w:r>
        <w:drawing>
          <wp:inline xmlns:a="http://schemas.openxmlformats.org/drawingml/2006/main" xmlns:pic="http://schemas.openxmlformats.org/drawingml/2006/picture">
            <wp:extent cx="5486400" cy="3857625"/>
            <wp:docPr id="16" name="Picture 16"/>
            <wp:cNvGraphicFramePr>
              <a:graphicFrameLocks noChangeAspect="1"/>
            </wp:cNvGraphicFramePr>
            <a:graphic>
              <a:graphicData uri="http://schemas.openxmlformats.org/drawingml/2006/picture">
                <pic:pic>
                  <pic:nvPicPr>
                    <pic:cNvPr id="0" name="04_district_shortages_table.png"/>
                    <pic:cNvPicPr/>
                  </pic:nvPicPr>
                  <pic:blipFill>
                    <a:blip r:embed="rId23"/>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5.8: District Blood Shortages &amp; Severe Deficit Monitoring Table</w:t>
      </w:r>
    </w:p>
    <w:p>
      <w:pPr>
        <w:spacing w:after="200" w:line="276" w:lineRule="auto"/>
      </w:pPr>
      <w:r>
        <w:rPr>
          <w:rFonts w:ascii="Times New Roman" w:hAnsi="Times New Roman"/>
          <w:color w:val="282828"/>
          <w:sz w:val="22"/>
        </w:rPr>
        <w:t>A public health surveillance mart ranking districts by supply deficit severity, flagging critical shortage areas (&lt;10 units) with distinct alert badges to guide state-level blood distribution logistics.</w:t>
      </w:r>
    </w:p>
    <w:p>
      <w:pPr>
        <w:spacing w:before="160" w:after="80"/>
        <w:jc w:val="center"/>
      </w:pPr>
      <w:r>
        <w:drawing>
          <wp:inline xmlns:a="http://schemas.openxmlformats.org/drawingml/2006/main" xmlns:pic="http://schemas.openxmlformats.org/drawingml/2006/picture">
            <wp:extent cx="5486400" cy="3526971"/>
            <wp:docPr id="17" name="Picture 17"/>
            <wp:cNvGraphicFramePr>
              <a:graphicFrameLocks noChangeAspect="1"/>
            </wp:cNvGraphicFramePr>
            <a:graphic>
              <a:graphicData uri="http://schemas.openxmlformats.org/drawingml/2006/picture">
                <pic:pic>
                  <pic:nvPicPr>
                    <pic:cNvPr id="0" name="04_carto_authenticated_map.png"/>
                    <pic:cNvPicPr/>
                  </pic:nvPicPr>
                  <pic:blipFill>
                    <a:blip r:embed="rId24"/>
                    <a:stretch>
                      <a:fillRect/>
                    </a:stretch>
                  </pic:blipFill>
                  <pic:spPr>
                    <a:xfrm>
                      <a:off x="0" y="0"/>
                      <a:ext cx="5486400" cy="3526971"/>
                    </a:xfrm>
                    <a:prstGeom prst="rect"/>
                  </pic:spPr>
                </pic:pic>
              </a:graphicData>
            </a:graphic>
          </wp:inline>
        </w:drawing>
      </w:r>
    </w:p>
    <w:p>
      <w:pPr>
        <w:keepNext w:val="0"/>
        <w:spacing w:before="40" w:after="240"/>
        <w:jc w:val="center"/>
      </w:pPr>
      <w:r>
        <w:rPr>
          <w:rFonts w:ascii="Times New Roman" w:hAnsi="Times New Roman"/>
          <w:b/>
          <w:i/>
          <w:color w:val="1B365D"/>
          <w:sz w:val="20"/>
        </w:rPr>
        <w:t>Figure 5.9: Geospatial Facility Mapping with Authenticated Carto Positron Tiles</w:t>
      </w:r>
    </w:p>
    <w:p>
      <w:pPr>
        <w:spacing w:after="200" w:line="276" w:lineRule="auto"/>
      </w:pPr>
      <w:r>
        <w:rPr>
          <w:rFonts w:ascii="Times New Roman" w:hAnsi="Times New Roman"/>
          <w:color w:val="282828"/>
          <w:sz w:val="22"/>
        </w:rPr>
        <w:t>Interactive Leaflet mapping interface displaying blood centers plotted across geographic coordinates, styled with clean Carto Positron basemap tiles and dynamically color-coded facility pins.</w:t>
      </w:r>
    </w:p>
    <w:p>
      <w:pPr>
        <w:spacing w:before="160" w:after="80"/>
        <w:jc w:val="center"/>
      </w:pPr>
      <w:r>
        <w:drawing>
          <wp:inline xmlns:a="http://schemas.openxmlformats.org/drawingml/2006/main" xmlns:pic="http://schemas.openxmlformats.org/drawingml/2006/picture">
            <wp:extent cx="5486400" cy="5143500"/>
            <wp:docPr id="18" name="Picture 18"/>
            <wp:cNvGraphicFramePr>
              <a:graphicFrameLocks noChangeAspect="1"/>
            </wp:cNvGraphicFramePr>
            <a:graphic>
              <a:graphicData uri="http://schemas.openxmlformats.org/drawingml/2006/picture">
                <pic:pic>
                  <pic:nvPicPr>
                    <pic:cNvPr id="0" name="05_map_marker_popup.png"/>
                    <pic:cNvPicPr/>
                  </pic:nvPicPr>
                  <pic:blipFill>
                    <a:blip r:embed="rId25"/>
                    <a:stretch>
                      <a:fillRect/>
                    </a:stretch>
                  </pic:blipFill>
                  <pic:spPr>
                    <a:xfrm>
                      <a:off x="0" y="0"/>
                      <a:ext cx="5486400" cy="5143500"/>
                    </a:xfrm>
                    <a:prstGeom prst="rect"/>
                  </pic:spPr>
                </pic:pic>
              </a:graphicData>
            </a:graphic>
          </wp:inline>
        </w:drawing>
      </w:r>
    </w:p>
    <w:p>
      <w:pPr>
        <w:keepNext w:val="0"/>
        <w:spacing w:before="40" w:after="240"/>
        <w:jc w:val="center"/>
      </w:pPr>
      <w:r>
        <w:rPr>
          <w:rFonts w:ascii="Times New Roman" w:hAnsi="Times New Roman"/>
          <w:b/>
          <w:i/>
          <w:color w:val="1B365D"/>
          <w:sz w:val="20"/>
        </w:rPr>
        <w:t>Figure 5.10: Interactive Facility Marker Detail Popup &amp; Navigation Trigger</w:t>
      </w:r>
    </w:p>
    <w:p>
      <w:pPr>
        <w:spacing w:after="200" w:line="276" w:lineRule="auto"/>
      </w:pPr>
      <w:r>
        <w:rPr>
          <w:rFonts w:ascii="Times New Roman" w:hAnsi="Times New Roman"/>
          <w:color w:val="282828"/>
          <w:sz w:val="22"/>
        </w:rPr>
        <w:t>Clicking a map pin reveals comprehensive center details, categorized units in stock, direct contact telephone links, and a 1-click Google Maps navigation trigger to provide immediate bedside routing.</w:t>
      </w:r>
    </w:p>
    <w:p>
      <w:pPr>
        <w:spacing w:before="160" w:after="80"/>
        <w:jc w:val="center"/>
      </w:pPr>
      <w:r>
        <w:drawing>
          <wp:inline xmlns:a="http://schemas.openxmlformats.org/drawingml/2006/main" xmlns:pic="http://schemas.openxmlformats.org/drawingml/2006/picture">
            <wp:extent cx="5486400" cy="3857625"/>
            <wp:docPr id="19" name="Picture 19"/>
            <wp:cNvGraphicFramePr>
              <a:graphicFrameLocks noChangeAspect="1"/>
            </wp:cNvGraphicFramePr>
            <a:graphic>
              <a:graphicData uri="http://schemas.openxmlformats.org/drawingml/2006/picture">
                <pic:pic>
                  <pic:nvPicPr>
                    <pic:cNvPr id="0" name="05_rare_blood_radar.png"/>
                    <pic:cNvPicPr/>
                  </pic:nvPicPr>
                  <pic:blipFill>
                    <a:blip r:embed="rId26"/>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5.11: Rare Blood Radar &amp; Bombay Phenotype (Oh) Safety Tracker</w:t>
      </w:r>
    </w:p>
    <w:p>
      <w:pPr>
        <w:spacing w:after="200" w:line="276" w:lineRule="auto"/>
      </w:pPr>
      <w:r>
        <w:rPr>
          <w:rFonts w:ascii="Times New Roman" w:hAnsi="Times New Roman"/>
          <w:color w:val="282828"/>
          <w:sz w:val="22"/>
        </w:rPr>
        <w:t>A dedicated surveillance radar tracking ultra-rare blood phenotypes (Bombay Blood Group, AB-negative, O-negative) with automated clinical safety warnings preventing accidental cross-matching.</w:t>
      </w:r>
    </w:p>
    <w:p>
      <w:pPr>
        <w:spacing w:before="160" w:after="80"/>
        <w:jc w:val="center"/>
      </w:pPr>
      <w:r>
        <w:drawing>
          <wp:inline xmlns:a="http://schemas.openxmlformats.org/drawingml/2006/main" xmlns:pic="http://schemas.openxmlformats.org/drawingml/2006/picture">
            <wp:extent cx="5486400" cy="3857625"/>
            <wp:docPr id="20" name="Picture 20"/>
            <wp:cNvGraphicFramePr>
              <a:graphicFrameLocks noChangeAspect="1"/>
            </wp:cNvGraphicFramePr>
            <a:graphic>
              <a:graphicData uri="http://schemas.openxmlformats.org/drawingml/2006/picture">
                <pic:pic>
                  <pic:nvPicPr>
                    <pic:cNvPr id="0" name="06_donor_eligibility_calculator.png"/>
                    <pic:cNvPicPr/>
                  </pic:nvPicPr>
                  <pic:blipFill>
                    <a:blip r:embed="rId27"/>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5.12: 100% Private Client-Side Donor Eligibility Calculator</w:t>
      </w:r>
    </w:p>
    <w:p>
      <w:pPr>
        <w:spacing w:after="200" w:line="276" w:lineRule="auto"/>
      </w:pPr>
      <w:r>
        <w:rPr>
          <w:rFonts w:ascii="Times New Roman" w:hAnsi="Times New Roman"/>
          <w:color w:val="282828"/>
          <w:sz w:val="22"/>
        </w:rPr>
        <w:t>An interactive self-assessment screening tool evaluating donor suitability based on age, weight, donation history, and clinical guidelines, operating 100% client-side with zero server data storage for absolute privacy.</w:t>
      </w:r>
    </w:p>
    <w:p>
      <w:pPr>
        <w:spacing w:before="160" w:after="80"/>
        <w:jc w:val="center"/>
      </w:pPr>
      <w:r>
        <w:drawing>
          <wp:inline xmlns:a="http://schemas.openxmlformats.org/drawingml/2006/main" xmlns:pic="http://schemas.openxmlformats.org/drawingml/2006/picture">
            <wp:extent cx="5486400" cy="3857625"/>
            <wp:docPr id="21" name="Picture 21"/>
            <wp:cNvGraphicFramePr>
              <a:graphicFrameLocks noChangeAspect="1"/>
            </wp:cNvGraphicFramePr>
            <a:graphic>
              <a:graphicData uri="http://schemas.openxmlformats.org/drawingml/2006/picture">
                <pic:pic>
                  <pic:nvPicPr>
                    <pic:cNvPr id="0" name="07_data_health_dashboard.png"/>
                    <pic:cNvPicPr/>
                  </pic:nvPicPr>
                  <pic:blipFill>
                    <a:blip r:embed="rId28"/>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5.13: Data Lakehouse Pipeline Health &amp; Freshness Telemetry Dashboard</w:t>
      </w:r>
    </w:p>
    <w:p>
      <w:pPr>
        <w:spacing w:after="200" w:line="276" w:lineRule="auto"/>
      </w:pPr>
      <w:r>
        <w:rPr>
          <w:rFonts w:ascii="Times New Roman" w:hAnsi="Times New Roman"/>
          <w:color w:val="282828"/>
          <w:sz w:val="22"/>
        </w:rPr>
        <w:t>A real-time telemetry console tracking scraper batch durations, dbt transformation status, record ingest counts, and Dual-DB quality gate verification metrics to guarantee end-to-end data auditability.</w:t>
      </w:r>
    </w:p>
    <w:p>
      <w:pPr>
        <w:spacing w:before="160" w:after="80"/>
        <w:jc w:val="center"/>
      </w:pPr>
      <w:r>
        <w:drawing>
          <wp:inline xmlns:a="http://schemas.openxmlformats.org/drawingml/2006/main" xmlns:pic="http://schemas.openxmlformats.org/drawingml/2006/picture">
            <wp:extent cx="5486400" cy="3857625"/>
            <wp:docPr id="22" name="Picture 22"/>
            <wp:cNvGraphicFramePr>
              <a:graphicFrameLocks noChangeAspect="1"/>
            </wp:cNvGraphicFramePr>
            <a:graphic>
              <a:graphicData uri="http://schemas.openxmlformats.org/drawingml/2006/picture">
                <pic:pic>
                  <pic:nvPicPr>
                    <pic:cNvPr id="0" name="08_multilingual_pwa.png"/>
                    <pic:cNvPicPr/>
                  </pic:nvPicPr>
                  <pic:blipFill>
                    <a:blip r:embed="rId29"/>
                    <a:stretch>
                      <a:fillRect/>
                    </a:stretch>
                  </pic:blipFill>
                  <pic:spPr>
                    <a:xfrm>
                      <a:off x="0" y="0"/>
                      <a:ext cx="5486400" cy="3857625"/>
                    </a:xfrm>
                    <a:prstGeom prst="rect"/>
                  </pic:spPr>
                </pic:pic>
              </a:graphicData>
            </a:graphic>
          </wp:inline>
        </w:drawing>
      </w:r>
    </w:p>
    <w:p>
      <w:pPr>
        <w:keepNext w:val="0"/>
        <w:spacing w:before="40" w:after="240"/>
        <w:jc w:val="center"/>
      </w:pPr>
      <w:r>
        <w:rPr>
          <w:rFonts w:ascii="Times New Roman" w:hAnsi="Times New Roman"/>
          <w:b/>
          <w:i/>
          <w:color w:val="1B365D"/>
          <w:sz w:val="20"/>
        </w:rPr>
        <w:t>Figure 5.14: Multi-Lingual Interface (EN/HI/GU) &amp; PWA Installation Support</w:t>
      </w:r>
    </w:p>
    <w:p>
      <w:pPr>
        <w:spacing w:after="200" w:line="276" w:lineRule="auto"/>
      </w:pPr>
      <w:r>
        <w:rPr>
          <w:rFonts w:ascii="Times New Roman" w:hAnsi="Times New Roman"/>
          <w:color w:val="282828"/>
          <w:sz w:val="22"/>
        </w:rPr>
        <w:t>Demonstration of seamless client-side localization across English, Hindi, and Gujarati, combined with Progressive Web App installation capabilities for reliable offline access during cellular network outages.</w:t>
      </w:r>
    </w:p>
    <w:p>
      <w:r>
        <w:br w:type="page"/>
      </w:r>
    </w:p>
    <w:p>
      <w:pPr>
        <w:keepNext/>
        <w:spacing w:before="320" w:after="160"/>
      </w:pPr>
      <w:r>
        <w:rPr>
          <w:rFonts w:ascii="Times New Roman" w:hAnsi="Times New Roman"/>
          <w:b/>
          <w:color w:val="C00000"/>
          <w:sz w:val="32"/>
        </w:rPr>
        <w:t>CHAPTER 6: SYSTEM TESTING</w:t>
      </w:r>
    </w:p>
    <w:p>
      <w:pPr>
        <w:keepNext/>
        <w:spacing w:before="240" w:after="120"/>
      </w:pPr>
      <w:r>
        <w:rPr>
          <w:rFonts w:ascii="Times New Roman" w:hAnsi="Times New Roman"/>
          <w:b/>
          <w:color w:val="1B365D"/>
          <w:sz w:val="27"/>
        </w:rPr>
        <w:t>6.1 Testing Strategies</w:t>
      </w:r>
    </w:p>
    <w:p>
      <w:pPr>
        <w:spacing w:after="120" w:line="276" w:lineRule="auto"/>
      </w:pPr>
      <w:r>
        <w:rPr>
          <w:rFonts w:ascii="Times New Roman" w:hAnsi="Times New Roman"/>
          <w:color w:val="282828"/>
          <w:sz w:val="22"/>
        </w:rPr>
        <w:t>Quality assurance in a life-critical medical informatics platform like Raktsetu requires rigorous multi-layered validation. The testing strategy encompasses four comprehensive levels of automated and empirical testing:</w:t>
      </w:r>
    </w:p>
    <w:p>
      <w:pPr>
        <w:pStyle w:val="ListParagraph"/>
        <w:spacing w:after="80" w:line="276" w:lineRule="auto"/>
      </w:pPr>
      <w:r>
        <w:rPr>
          <w:rFonts w:ascii="Times New Roman" w:hAnsi="Times New Roman"/>
          <w:b/>
          <w:color w:val="282828"/>
          <w:sz w:val="22"/>
        </w:rPr>
        <w:t xml:space="preserve">1. dbt Medallion Invariant Testing: </w:t>
      </w:r>
      <w:r>
        <w:rPr>
          <w:rFonts w:ascii="Times New Roman" w:hAnsi="Times New Roman"/>
          <w:color w:val="282828"/>
          <w:sz w:val="22"/>
        </w:rPr>
        <w:t>Executed via dbt test suite. Automated tests assert that primary keys (blood_bank_id, fact_id) are strictly unique and non-null, foreign key relationships across star schema dimensions are intact, and numeric unit counts adhere to positive integer constraints (units &gt;= 0).</w:t>
      </w:r>
    </w:p>
    <w:p>
      <w:pPr>
        <w:pStyle w:val="ListParagraph"/>
        <w:spacing w:after="80" w:line="276" w:lineRule="auto"/>
      </w:pPr>
      <w:r>
        <w:rPr>
          <w:rFonts w:ascii="Times New Roman" w:hAnsi="Times New Roman"/>
          <w:b/>
          <w:color w:val="282828"/>
          <w:sz w:val="22"/>
        </w:rPr>
        <w:t xml:space="preserve">2. Backend Pytest Test Suite: </w:t>
      </w:r>
      <w:r>
        <w:rPr>
          <w:rFonts w:ascii="Times New Roman" w:hAnsi="Times New Roman"/>
          <w:color w:val="282828"/>
          <w:sz w:val="22"/>
        </w:rPr>
        <w:t>Automated unit and integration test suite executing via Pytest. Tests validate FastAPI route responses, Pydantic request/response schema parsing, and the mathematical correctness of the 3-Pillar Reliability Score calculation under boundary conditions.</w:t>
      </w:r>
    </w:p>
    <w:p>
      <w:pPr>
        <w:pStyle w:val="ListParagraph"/>
        <w:spacing w:after="80" w:line="276" w:lineRule="auto"/>
      </w:pPr>
      <w:r>
        <w:rPr>
          <w:rFonts w:ascii="Times New Roman" w:hAnsi="Times New Roman"/>
          <w:b/>
          <w:color w:val="282828"/>
          <w:sz w:val="22"/>
        </w:rPr>
        <w:t xml:space="preserve">3. Clinical Transfusion Safety Validation: </w:t>
      </w:r>
      <w:r>
        <w:rPr>
          <w:rFonts w:ascii="Times New Roman" w:hAnsi="Times New Roman"/>
          <w:color w:val="282828"/>
          <w:sz w:val="22"/>
        </w:rPr>
        <w:t>Comprehensive validation of clinical compatibility matrices. Tests verify that universal donor fallbacks (e.g., O- for emergency red cells) resolve accurately, and that Bombay Phenotype (Oh) isolation guards prevent unsafe blood substitutions.</w:t>
      </w:r>
    </w:p>
    <w:p>
      <w:pPr>
        <w:pStyle w:val="ListParagraph"/>
        <w:spacing w:after="80" w:line="276" w:lineRule="auto"/>
      </w:pPr>
      <w:r>
        <w:rPr>
          <w:rFonts w:ascii="Times New Roman" w:hAnsi="Times New Roman"/>
          <w:b/>
          <w:color w:val="282828"/>
          <w:sz w:val="22"/>
        </w:rPr>
        <w:t xml:space="preserve">4. Dual-DB Atomic Swap &amp; Concurrency Testing: </w:t>
      </w:r>
      <w:r>
        <w:rPr>
          <w:rFonts w:ascii="Times New Roman" w:hAnsi="Times New Roman"/>
          <w:color w:val="282828"/>
          <w:sz w:val="22"/>
        </w:rPr>
        <w:t>Validates that during scraping and dbt model rebuilds, analytical REST endpoints reading from serving.duckdb experience zero connection drops, zero locks, and zero partial-read inconsistencies.</w:t>
      </w:r>
    </w:p>
    <w:p>
      <w:pPr>
        <w:keepNext/>
        <w:spacing w:before="240" w:after="120"/>
      </w:pPr>
      <w:r>
        <w:rPr>
          <w:rFonts w:ascii="Times New Roman" w:hAnsi="Times New Roman"/>
          <w:b/>
          <w:color w:val="1B365D"/>
          <w:sz w:val="27"/>
        </w:rPr>
        <w:t>6.2 Audited Test Cases Matrix (25 Detailed Verification Cases)</w:t>
      </w:r>
    </w:p>
    <w:p>
      <w:pPr>
        <w:spacing w:after="120" w:line="276" w:lineRule="auto"/>
      </w:pPr>
      <w:r>
        <w:rPr>
          <w:rFonts w:ascii="Times New Roman" w:hAnsi="Times New Roman"/>
          <w:color w:val="282828"/>
          <w:sz w:val="22"/>
        </w:rPr>
        <w:t>The following matrix documents 25 formal test cases executed across ingestion, transformation, clinical rule evaluation, geospatial rendering, and UI interactivity. Every test case underwent rigorous auditing and achieved a status of PASS: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1692"/>
        <w:gridCol w:w="1692"/>
        <w:gridCol w:w="1692"/>
        <w:gridCol w:w="1692"/>
        <w:gridCol w:w="1692"/>
        <w:gridCol w:w="1692"/>
      </w:tblGrid>
      <w:tr>
        <w:trPr>
          <w:cantSplit/>
        </w:trPr>
        <w:tc>
          <w:tcPr>
            <w:tcW w:type="dxa" w:w="864"/>
            <w:shd w:fill="D8D8D8"/>
            <w:tcMar>
              <w:top w:w="120" w:type="dxa"/>
              <w:bottom w:w="120" w:type="dxa"/>
              <w:left w:w="140" w:type="dxa"/>
              <w:right w:w="140" w:type="dxa"/>
            </w:tcMar>
          </w:tcPr>
          <w:p>
            <w:pPr>
              <w:jc w:val="center"/>
            </w:pPr>
            <w:r>
              <w:rPr>
                <w:rFonts w:ascii="Times New Roman" w:hAnsi="Times New Roman"/>
                <w:b/>
                <w:color w:val="1B365D"/>
                <w:sz w:val="20"/>
              </w:rPr>
              <w:t>Sr. No.</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Test Scenario</w:t>
            </w:r>
          </w:p>
        </w:tc>
        <w:tc>
          <w:tcPr>
            <w:tcW w:type="dxa" w:w="2160"/>
            <w:shd w:fill="D8D8D8"/>
            <w:tcMar>
              <w:top w:w="120" w:type="dxa"/>
              <w:bottom w:w="120" w:type="dxa"/>
              <w:left w:w="140" w:type="dxa"/>
              <w:right w:w="140" w:type="dxa"/>
            </w:tcMar>
          </w:tcPr>
          <w:p>
            <w:pPr>
              <w:jc w:val="center"/>
            </w:pPr>
            <w:r>
              <w:rPr>
                <w:rFonts w:ascii="Times New Roman" w:hAnsi="Times New Roman"/>
                <w:b/>
                <w:color w:val="1B365D"/>
                <w:sz w:val="20"/>
              </w:rPr>
              <w:t>Test Purpose</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Input Data</w:t>
            </w:r>
          </w:p>
        </w:tc>
        <w:tc>
          <w:tcPr>
            <w:tcW w:type="dxa" w:w="2016"/>
            <w:shd w:fill="D8D8D8"/>
            <w:tcMar>
              <w:top w:w="120" w:type="dxa"/>
              <w:bottom w:w="120" w:type="dxa"/>
              <w:left w:w="140" w:type="dxa"/>
              <w:right w:w="140" w:type="dxa"/>
            </w:tcMar>
          </w:tcPr>
          <w:p>
            <w:pPr>
              <w:jc w:val="center"/>
            </w:pPr>
            <w:r>
              <w:rPr>
                <w:rFonts w:ascii="Times New Roman" w:hAnsi="Times New Roman"/>
                <w:b/>
                <w:color w:val="1B365D"/>
                <w:sz w:val="20"/>
              </w:rPr>
              <w:t>Expected Output</w:t>
            </w:r>
          </w:p>
        </w:tc>
        <w:tc>
          <w:tcPr>
            <w:tcW w:type="dxa" w:w="1008"/>
            <w:shd w:fill="D8D8D8"/>
            <w:tcMar>
              <w:top w:w="120" w:type="dxa"/>
              <w:bottom w:w="120" w:type="dxa"/>
              <w:left w:w="140" w:type="dxa"/>
              <w:right w:w="140" w:type="dxa"/>
            </w:tcMar>
          </w:tcPr>
          <w:p>
            <w:pPr>
              <w:jc w:val="center"/>
            </w:pPr>
            <w:r>
              <w:rPr>
                <w:rFonts w:ascii="Times New Roman" w:hAnsi="Times New Roman"/>
                <w:b/>
                <w:color w:val="1B365D"/>
                <w:sz w:val="20"/>
              </w:rPr>
              <w:t>Status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TC-01</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Scraper Ingestion: Valid Harvest</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asynchronous scraping of state inventory</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Target: Gujarat (Anand district)</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Extracts raw inventory records into bronze.raw_blood_inventory</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TC-02</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Scraper Fault Tolerance: 404/500</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scraper retry on server error</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Mock HTTP 503 Service Unavailable</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Retries 3 times with exponential backoff without crashing</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TC-03</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Bronze to Silver: Phone Cleaning</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phone number normalization</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Input: '+91 02692-223456 / 9825012345'</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Extracted clean 10-digit number '02692223456'</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TC-04</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Silver Invariant: Coordinates Bounding</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Ensure coordinates fall within India bounds</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Lat: 22.56, Lon: 72.95 (Anand)</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Coordinates validated and stored in silver.stg_blood_banks</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TC-05</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Silver Deduplication: Facility Hash</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Prevent duplicate entries for identical facilities</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Two raw records for same hospital</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Single unique record generated via SHA-256 natural key</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TC-06</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Gold Mart: Stock Units Non-Negative</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Assert no negative unit counts in fact table</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Inventory unit counts</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dbt test passes: all units &gt;= 0</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TC-07</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Gold Mart: Star Schema Referential Integrity</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Ensure all fact rows link to valid dim rows</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fct_stock_current foreign keys</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0 orphan records; 100% referential integrity</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TC-08</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Trust Score: Recent Update (&lt;24h)</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maximum freshness score for fresh data</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Last updated: 3 hours ago</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Freshness score = 100.0, Tier = 'High (Verified)'</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TC-09</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Trust Score: Stale Update (&gt;7 days)</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penalization for neglected updates</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Last updated: 14 days ago</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Freshness score = 20.0, Total trust drops below 50.0</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TC-10</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Trust Score: Complete Component Reporting</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reward for reporting all blood components</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Facility reports PRBC, FFP, Platelets</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Completeness score = 100.0</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TC-11</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Emergency Triage: Universal Donor Fallback</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O- fallback for O- emergency</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Patient: O-, Component: Packed Red Cells</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Ranks O- units first; flags universal donor compatibility</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TC-12</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Emergency Triage: AB+ Recipient</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universal recipient compatibility</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Patient: AB+, Component: Whole Blood</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Displays A+, B+, AB+, O+ compatible options</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TC-13</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Clinical Safety: Bombay Phenotype Isolation</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Bombay blood group safety guard</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Patient: Bombay Blood Group (Oh)</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Strictly isolates Oh donors; blocks standard ABO units</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TC-14</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Emergency Mode: Top-5 Prioritized Ranking</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sorting by stock, trust, and distance</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Emergency search query triggered</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Returns top-5 verified facilities with direct call buttons</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TC-15</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Dual-DB Quality Gate: Test Failure Blocking</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promotion is aborted if test fails</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Injected null value into primary key</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dbt test fails; serving.duckdb remains untouched</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TC-16</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Dual-DB Quality Gate: Atomic Swap Success</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zero downtime during database promotion</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dbt tests 100% pass</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Atomic file swap completes in &lt;10ms; zero dropped queries</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TC-17</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FastAPI: /api/inventory Latency</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analytical query response time</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GET /api/inventory?district=Anand</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HTTP 200 OK with full JSON payload in &lt;12ms</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TC-18</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FastAPI: CORS &amp; Security Headers</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secure cross-origin request headers</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Pre-flight OPTIONS request</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Access-Control-Allow-Origin validated; CSP headers present</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TC-19</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Geospatial Map: Marker Rendering</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Leaflet pin rendering from database</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Anand district coordinates payload</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Pins render accurately at geocoordinates with color tiers</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TC-20</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Geospatial Map: Direct Phone Callout</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click-to-call links in popup</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User clicks marker popup</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tel: protocol link opens native smartphone dialer</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TC-21</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Donor Calculator: Normal Eligible Donor</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eligibility approval for valid donor</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Age: 25, Weight: 65kg, Hb: 13.5, Last Donated: 120 days</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Status: 'Eligible to Donate'; guidelines displayed</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TC-22</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Donor Calculator: Underweight Deferral</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deferral for donor below 45kg</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Age: 21, Weight: 42kg</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Status: 'Deferred'; reason: minimum weight is 45kg</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TC-23</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Donor Calculator: Privacy Guarantee</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zero server network transmission</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Inspection of browser Network tab</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0 HTTP requests sent; calculation executed 100% client-side</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9FAFB"/>
            <w:tcMar>
              <w:top w:w="80" w:type="dxa"/>
              <w:bottom w:w="80" w:type="dxa"/>
              <w:left w:w="120" w:type="dxa"/>
              <w:right w:w="120" w:type="dxa"/>
            </w:tcMar>
          </w:tcPr>
          <w:p>
            <w:pPr>
              <w:spacing w:line="276" w:lineRule="auto"/>
            </w:pPr>
            <w:r>
              <w:rPr>
                <w:rFonts w:ascii="Times New Roman" w:hAnsi="Times New Roman"/>
                <w:color w:val="282828"/>
                <w:sz w:val="19"/>
              </w:rPr>
              <w:t>TC-24</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PWA: Offline Cache Service Worker</w:t>
            </w:r>
          </w:p>
        </w:tc>
        <w:tc>
          <w:tcPr>
            <w:tcW w:type="dxa" w:w="2160"/>
            <w:shd w:fill="F9FAFB"/>
            <w:tcMar>
              <w:top w:w="80" w:type="dxa"/>
              <w:bottom w:w="80" w:type="dxa"/>
              <w:left w:w="120" w:type="dxa"/>
              <w:right w:w="120" w:type="dxa"/>
            </w:tcMar>
          </w:tcPr>
          <w:p>
            <w:pPr>
              <w:spacing w:line="276" w:lineRule="auto"/>
            </w:pPr>
            <w:r>
              <w:rPr>
                <w:rFonts w:ascii="Times New Roman" w:hAnsi="Times New Roman"/>
                <w:color w:val="282828"/>
                <w:sz w:val="19"/>
              </w:rPr>
              <w:t>Verify offline dashboard accessibility</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Network disconnected (Airplane mode)</w:t>
            </w:r>
          </w:p>
        </w:tc>
        <w:tc>
          <w:tcPr>
            <w:tcW w:type="dxa" w:w="2016"/>
            <w:shd w:fill="F9FAFB"/>
            <w:tcMar>
              <w:top w:w="80" w:type="dxa"/>
              <w:bottom w:w="80" w:type="dxa"/>
              <w:left w:w="120" w:type="dxa"/>
              <w:right w:w="120" w:type="dxa"/>
            </w:tcMar>
          </w:tcPr>
          <w:p>
            <w:pPr>
              <w:spacing w:line="276" w:lineRule="auto"/>
            </w:pPr>
            <w:r>
              <w:rPr>
                <w:rFonts w:ascii="Times New Roman" w:hAnsi="Times New Roman"/>
                <w:color w:val="282828"/>
                <w:sz w:val="19"/>
              </w:rPr>
              <w:t>App loads from cache; displays cached inventory state</w:t>
            </w:r>
          </w:p>
        </w:tc>
        <w:tc>
          <w:tcPr>
            <w:tcW w:type="dxa" w:w="1008"/>
            <w:shd w:fill="F9FAFB"/>
            <w:tcMar>
              <w:top w:w="80" w:type="dxa"/>
              <w:bottom w:w="80" w:type="dxa"/>
              <w:left w:w="120" w:type="dxa"/>
              <w:right w:w="120" w:type="dxa"/>
            </w:tcMar>
          </w:tcPr>
          <w:p>
            <w:pPr>
              <w:spacing w:line="276" w:lineRule="auto"/>
            </w:pPr>
            <w:r>
              <w:rPr>
                <w:rFonts w:ascii="Times New Roman" w:hAnsi="Times New Roman"/>
                <w:b/>
                <w:color w:val="228B22"/>
                <w:sz w:val="19"/>
              </w:rPr>
              <w:t>PASS</w:t>
            </w:r>
          </w:p>
        </w:tc>
      </w:tr>
      <w:tr>
        <w:trPr>
          <w:cantSplit/>
        </w:trPr>
        <w:tc>
          <w:tcPr>
            <w:tcW w:type="dxa" w:w="864"/>
            <w:shd w:fill="FFFFFF"/>
            <w:tcMar>
              <w:top w:w="80" w:type="dxa"/>
              <w:bottom w:w="80" w:type="dxa"/>
              <w:left w:w="120" w:type="dxa"/>
              <w:right w:w="120" w:type="dxa"/>
            </w:tcMar>
          </w:tcPr>
          <w:p>
            <w:pPr>
              <w:spacing w:line="276" w:lineRule="auto"/>
            </w:pPr>
            <w:r>
              <w:rPr>
                <w:rFonts w:ascii="Times New Roman" w:hAnsi="Times New Roman"/>
                <w:color w:val="282828"/>
                <w:sz w:val="19"/>
              </w:rPr>
              <w:t>TC-25</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Localization: Dynamic Tri-Lingual Switch</w:t>
            </w:r>
          </w:p>
        </w:tc>
        <w:tc>
          <w:tcPr>
            <w:tcW w:type="dxa" w:w="2160"/>
            <w:shd w:fill="FFFFFF"/>
            <w:tcMar>
              <w:top w:w="80" w:type="dxa"/>
              <w:bottom w:w="80" w:type="dxa"/>
              <w:left w:w="120" w:type="dxa"/>
              <w:right w:w="120" w:type="dxa"/>
            </w:tcMar>
          </w:tcPr>
          <w:p>
            <w:pPr>
              <w:spacing w:line="276" w:lineRule="auto"/>
            </w:pPr>
            <w:r>
              <w:rPr>
                <w:rFonts w:ascii="Times New Roman" w:hAnsi="Times New Roman"/>
                <w:color w:val="282828"/>
                <w:sz w:val="19"/>
              </w:rPr>
              <w:t>Verify instant translation without reload</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Switch language: English -&gt; Gujarati</w:t>
            </w:r>
          </w:p>
        </w:tc>
        <w:tc>
          <w:tcPr>
            <w:tcW w:type="dxa" w:w="2016"/>
            <w:shd w:fill="FFFFFF"/>
            <w:tcMar>
              <w:top w:w="80" w:type="dxa"/>
              <w:bottom w:w="80" w:type="dxa"/>
              <w:left w:w="120" w:type="dxa"/>
              <w:right w:w="120" w:type="dxa"/>
            </w:tcMar>
          </w:tcPr>
          <w:p>
            <w:pPr>
              <w:spacing w:line="276" w:lineRule="auto"/>
            </w:pPr>
            <w:r>
              <w:rPr>
                <w:rFonts w:ascii="Times New Roman" w:hAnsi="Times New Roman"/>
                <w:color w:val="282828"/>
                <w:sz w:val="19"/>
              </w:rPr>
              <w:t>All labels, headers, and triage texts update in &lt;5ms</w:t>
            </w:r>
          </w:p>
        </w:tc>
        <w:tc>
          <w:tcPr>
            <w:tcW w:type="dxa" w:w="1008"/>
            <w:shd w:fill="FFFFFF"/>
            <w:tcMar>
              <w:top w:w="80" w:type="dxa"/>
              <w:bottom w:w="80" w:type="dxa"/>
              <w:left w:w="120" w:type="dxa"/>
              <w:right w:w="120" w:type="dxa"/>
            </w:tcMar>
          </w:tcPr>
          <w:p>
            <w:pPr>
              <w:spacing w:line="276" w:lineRule="auto"/>
            </w:pPr>
            <w:r>
              <w:rPr>
                <w:rFonts w:ascii="Times New Roman" w:hAnsi="Times New Roman"/>
                <w:b/>
                <w:color w:val="228B22"/>
                <w:sz w:val="19"/>
              </w:rPr>
              <w:t>PASS</w:t>
            </w:r>
          </w:p>
        </w:tc>
      </w:tr>
    </w:tbl>
    <w:p>
      <w:pPr>
        <w:spacing w:after="120"/>
      </w:pPr>
    </w:p>
    <w:p>
      <w:r>
        <w:br w:type="page"/>
      </w:r>
    </w:p>
    <w:p>
      <w:pPr>
        <w:keepNext/>
        <w:spacing w:before="320" w:after="160"/>
      </w:pPr>
      <w:r>
        <w:rPr>
          <w:rFonts w:ascii="Times New Roman" w:hAnsi="Times New Roman"/>
          <w:b/>
          <w:color w:val="C00000"/>
          <w:sz w:val="32"/>
        </w:rPr>
        <w:t>CHAPTER 7: FUTURE ENHANCEMENTS</w:t>
      </w:r>
    </w:p>
    <w:p>
      <w:pPr>
        <w:keepNext/>
        <w:spacing w:before="240" w:after="120"/>
      </w:pPr>
      <w:r>
        <w:rPr>
          <w:rFonts w:ascii="Times New Roman" w:hAnsi="Times New Roman"/>
          <w:b/>
          <w:color w:val="1B365D"/>
          <w:sz w:val="27"/>
        </w:rPr>
        <w:t>7.1 Short-Term Operational Enhancements</w:t>
      </w:r>
    </w:p>
    <w:p>
      <w:pPr>
        <w:pStyle w:val="ListParagraph"/>
        <w:spacing w:after="80" w:line="276" w:lineRule="auto"/>
      </w:pPr>
      <w:r>
        <w:rPr>
          <w:rFonts w:ascii="Times New Roman" w:hAnsi="Times New Roman"/>
          <w:b/>
          <w:color w:val="282828"/>
          <w:sz w:val="22"/>
        </w:rPr>
        <w:t xml:space="preserve">1. Automated Telephonic IVR Auditing: </w:t>
      </w:r>
      <w:r>
        <w:rPr>
          <w:rFonts w:ascii="Times New Roman" w:hAnsi="Times New Roman"/>
          <w:color w:val="282828"/>
          <w:sz w:val="22"/>
        </w:rPr>
        <w:t>Integrate automated, scheduled Interactive Voice Response (IVR) phone calls to blood bank desk managers, allowing staff to update daily critical stock with a 30-second telephone keypad entry.</w:t>
      </w:r>
    </w:p>
    <w:p>
      <w:pPr>
        <w:pStyle w:val="ListParagraph"/>
        <w:spacing w:after="80" w:line="276" w:lineRule="auto"/>
      </w:pPr>
      <w:r>
        <w:rPr>
          <w:rFonts w:ascii="Times New Roman" w:hAnsi="Times New Roman"/>
          <w:b/>
          <w:color w:val="282828"/>
          <w:sz w:val="22"/>
        </w:rPr>
        <w:t xml:space="preserve">2. WhatsApp Emergency Chatbot: </w:t>
      </w:r>
      <w:r>
        <w:rPr>
          <w:rFonts w:ascii="Times New Roman" w:hAnsi="Times New Roman"/>
          <w:color w:val="282828"/>
          <w:sz w:val="22"/>
        </w:rPr>
        <w:t>Deploy an official WhatsApp Business API bot where citizens can send a location pin and blood group to receive an instantaneous emergency triage list with direct dialing links directly within WhatsApp.</w:t>
      </w:r>
    </w:p>
    <w:p>
      <w:pPr>
        <w:pStyle w:val="ListParagraph"/>
        <w:spacing w:after="80" w:line="276" w:lineRule="auto"/>
      </w:pPr>
      <w:r>
        <w:rPr>
          <w:rFonts w:ascii="Times New Roman" w:hAnsi="Times New Roman"/>
          <w:b/>
          <w:color w:val="282828"/>
          <w:sz w:val="22"/>
        </w:rPr>
        <w:t xml:space="preserve">3. Native Mobile Applications: </w:t>
      </w:r>
      <w:r>
        <w:rPr>
          <w:rFonts w:ascii="Times New Roman" w:hAnsi="Times New Roman"/>
          <w:color w:val="282828"/>
          <w:sz w:val="22"/>
        </w:rPr>
        <w:t>Develop native Android and iOS mobile applications leveraging Flutter while preserving the existing high-speed DuckDB/FastAPI backend.</w:t>
      </w:r>
    </w:p>
    <w:p>
      <w:pPr>
        <w:keepNext/>
        <w:spacing w:before="240" w:after="120"/>
      </w:pPr>
      <w:r>
        <w:rPr>
          <w:rFonts w:ascii="Times New Roman" w:hAnsi="Times New Roman"/>
          <w:b/>
          <w:color w:val="1B365D"/>
          <w:sz w:val="27"/>
        </w:rPr>
        <w:t>7.2 Long-Term Strategic &amp; AI Roadmap</w:t>
      </w:r>
    </w:p>
    <w:p>
      <w:pPr>
        <w:pStyle w:val="ListParagraph"/>
        <w:spacing w:after="80" w:line="276" w:lineRule="auto"/>
      </w:pPr>
      <w:r>
        <w:rPr>
          <w:rFonts w:ascii="Times New Roman" w:hAnsi="Times New Roman"/>
          <w:b/>
          <w:color w:val="282828"/>
          <w:sz w:val="22"/>
        </w:rPr>
        <w:t xml:space="preserve">1. Predictive AI Demand Forecasting: </w:t>
      </w:r>
      <w:r>
        <w:rPr>
          <w:rFonts w:ascii="Times New Roman" w:hAnsi="Times New Roman"/>
          <w:color w:val="282828"/>
          <w:sz w:val="22"/>
        </w:rPr>
        <w:t>Implement time-series forecasting models (such as Prophet and NeuralProphet) trained on multi-year consumption patterns to predict district-level blood demand 14 days in advance, accounting for festive seasons and disease outbreaks.</w:t>
      </w:r>
    </w:p>
    <w:p>
      <w:pPr>
        <w:pStyle w:val="ListParagraph"/>
        <w:spacing w:after="80" w:line="276" w:lineRule="auto"/>
      </w:pPr>
      <w:r>
        <w:rPr>
          <w:rFonts w:ascii="Times New Roman" w:hAnsi="Times New Roman"/>
          <w:b/>
          <w:color w:val="282828"/>
          <w:sz w:val="22"/>
        </w:rPr>
        <w:t xml:space="preserve">2. Medical Drone Logistics Routing: </w:t>
      </w:r>
      <w:r>
        <w:rPr>
          <w:rFonts w:ascii="Times New Roman" w:hAnsi="Times New Roman"/>
          <w:color w:val="282828"/>
          <w:sz w:val="22"/>
        </w:rPr>
        <w:t>Collaborate with government disaster management agencies to integrate automated medical drone delivery routes for inter-hospital emergency blood unit transport across remote rural and tribal regions.</w:t>
      </w:r>
    </w:p>
    <w:p>
      <w:pPr>
        <w:pStyle w:val="ListParagraph"/>
        <w:spacing w:after="80" w:line="276" w:lineRule="auto"/>
      </w:pPr>
      <w:r>
        <w:rPr>
          <w:rFonts w:ascii="Times New Roman" w:hAnsi="Times New Roman"/>
          <w:b/>
          <w:color w:val="282828"/>
          <w:sz w:val="22"/>
        </w:rPr>
        <w:t xml:space="preserve">3. National EHR &amp; Hospital Integration: </w:t>
      </w:r>
      <w:r>
        <w:rPr>
          <w:rFonts w:ascii="Times New Roman" w:hAnsi="Times New Roman"/>
          <w:color w:val="282828"/>
          <w:sz w:val="22"/>
        </w:rPr>
        <w:t>Establish secure, federated HL7/FHIR API connectors with major hospital Electronic Health Record (EHR) systems to automate pre-admission blood reservation and cross-matching.</w:t>
      </w:r>
    </w:p>
    <w:p>
      <w:pPr>
        <w:keepNext/>
        <w:spacing w:before="320" w:after="160"/>
      </w:pPr>
      <w:r>
        <w:rPr>
          <w:rFonts w:ascii="Times New Roman" w:hAnsi="Times New Roman"/>
          <w:b/>
          <w:color w:val="C00000"/>
          <w:sz w:val="32"/>
        </w:rPr>
        <w:t>CHAPTER 8: BIBLIOGRAPHY &amp; REFERENCES</w:t>
      </w:r>
    </w:p>
    <w:p>
      <w:pPr>
        <w:pStyle w:val="ListParagraph"/>
        <w:spacing w:after="80" w:line="276" w:lineRule="auto"/>
      </w:pPr>
      <w:r>
        <w:rPr>
          <w:rFonts w:ascii="Times New Roman" w:hAnsi="Times New Roman"/>
          <w:color w:val="282828"/>
          <w:sz w:val="22"/>
        </w:rPr>
        <w:t>National Blood Transfusion Council (NBTC), Ministry of Health and Family Welfare, Government of India. 'National Standards for Blood Transfusion Services', 2nd Edition, 2022.</w:t>
      </w:r>
    </w:p>
    <w:p>
      <w:pPr>
        <w:pStyle w:val="ListParagraph"/>
        <w:spacing w:after="80" w:line="276" w:lineRule="auto"/>
      </w:pPr>
      <w:r>
        <w:rPr>
          <w:rFonts w:ascii="Times New Roman" w:hAnsi="Times New Roman"/>
          <w:color w:val="282828"/>
          <w:sz w:val="22"/>
        </w:rPr>
        <w:t>World Health Organization (WHO). 'The Clinical Use of Blood in Medicine, Obstetrics, Paediatrics, Surgery &amp; Anaesthesia, Trauma &amp; Burns', WHO Blood Transfusion Safety, Geneva, 2021.</w:t>
      </w:r>
    </w:p>
    <w:p>
      <w:pPr>
        <w:pStyle w:val="ListParagraph"/>
        <w:spacing w:after="80" w:line="276" w:lineRule="auto"/>
      </w:pPr>
      <w:r>
        <w:rPr>
          <w:rFonts w:ascii="Times New Roman" w:hAnsi="Times New Roman"/>
          <w:color w:val="282828"/>
          <w:sz w:val="22"/>
        </w:rPr>
        <w:t>Raasveldt, M., &amp; Mühleisen, H. 'DuckDB: an Embeddable Analytical Database', Proceedings of the VLDB Endowment (PVLDB), Vol. 12, Issue 12, 2019.</w:t>
      </w:r>
    </w:p>
    <w:p>
      <w:pPr>
        <w:pStyle w:val="ListParagraph"/>
        <w:spacing w:after="80" w:line="276" w:lineRule="auto"/>
      </w:pPr>
      <w:r>
        <w:rPr>
          <w:rFonts w:ascii="Times New Roman" w:hAnsi="Times New Roman"/>
          <w:color w:val="282828"/>
          <w:sz w:val="22"/>
        </w:rPr>
        <w:t>dbt Labs. 'The Medallion Architecture: Best Practices for Data Lakehouse Engineering with dbt Core', dbt Documentation, 2024.</w:t>
      </w:r>
    </w:p>
    <w:p>
      <w:pPr>
        <w:pStyle w:val="ListParagraph"/>
        <w:spacing w:after="80" w:line="276" w:lineRule="auto"/>
      </w:pPr>
      <w:r>
        <w:rPr>
          <w:rFonts w:ascii="Times New Roman" w:hAnsi="Times New Roman"/>
          <w:color w:val="282828"/>
          <w:sz w:val="22"/>
        </w:rPr>
        <w:t>Tiangolo, S. 'FastAPI: Modern, High-Performance Web Framework for Python 3.8+', Official FastAPI Specification, 2024.</w:t>
      </w:r>
    </w:p>
    <w:p>
      <w:pPr>
        <w:pStyle w:val="ListParagraph"/>
        <w:spacing w:after="80" w:line="276" w:lineRule="auto"/>
      </w:pPr>
      <w:r>
        <w:rPr>
          <w:rFonts w:ascii="Times New Roman" w:hAnsi="Times New Roman"/>
          <w:color w:val="282828"/>
          <w:sz w:val="22"/>
        </w:rPr>
        <w:t>Agafonkin, V. 'Leaflet: An Open-Source JavaScript Library for Mobile-Friendly Interactive Maps', Leafletjs.com, 2024.</w:t>
      </w:r>
    </w:p>
    <w:p>
      <w:pPr>
        <w:pStyle w:val="ListParagraph"/>
        <w:spacing w:after="80" w:line="276" w:lineRule="auto"/>
      </w:pPr>
      <w:r>
        <w:rPr>
          <w:rFonts w:ascii="Times New Roman" w:hAnsi="Times New Roman"/>
          <w:color w:val="282828"/>
          <w:sz w:val="22"/>
        </w:rPr>
        <w:t>Ministry of Health and Family Welfare (MoHFW), Government of India. 'eRaktKosh: National Blood Inventory Management System Portal', eraktkosh.mohfw.gov.in, 2024.</w:t>
      </w:r>
    </w:p>
    <w:p>
      <w:pPr>
        <w:keepNext/>
        <w:spacing w:before="320" w:after="160"/>
      </w:pPr>
      <w:r>
        <w:rPr>
          <w:rFonts w:ascii="Times New Roman" w:hAnsi="Times New Roman"/>
          <w:b/>
          <w:color w:val="C00000"/>
          <w:sz w:val="32"/>
        </w:rPr>
        <w:t>CHAPTER 9: CONCLUSION</w:t>
      </w:r>
    </w:p>
    <w:p>
      <w:pPr>
        <w:spacing w:after="120" w:line="276" w:lineRule="auto"/>
      </w:pPr>
      <w:r>
        <w:rPr>
          <w:rFonts w:ascii="Times New Roman" w:hAnsi="Times New Roman"/>
          <w:b/>
          <w:color w:val="282828"/>
          <w:sz w:val="22"/>
        </w:rPr>
        <w:t xml:space="preserve">Final Synthesis: </w:t>
      </w:r>
      <w:r>
        <w:rPr>
          <w:rFonts w:ascii="Times New Roman" w:hAnsi="Times New Roman"/>
          <w:color w:val="282828"/>
          <w:sz w:val="22"/>
        </w:rPr>
        <w:t>Raktsetu successfully bridges the perilous divide between static public health listings and critical emergency clinical decision support. By harnessing the modern data stack—combining DuckDB's vectorized columnar performance, dbt Core's Medallion architecture, the Dual-Database Quality Gate's atomic data safety, and a zero-framework responsive clinical user interface—the project demonstrates that transformative healthcare tools can be constructed with speed, elegance, and zero recurring proprietary costs.</w:t>
      </w:r>
    </w:p>
    <w:p>
      <w:pPr>
        <w:spacing w:after="120" w:line="276" w:lineRule="auto"/>
      </w:pPr>
      <w:r>
        <w:rPr>
          <w:rFonts w:ascii="Times New Roman" w:hAnsi="Times New Roman"/>
          <w:b/>
          <w:color w:val="282828"/>
          <w:sz w:val="22"/>
        </w:rPr>
        <w:t xml:space="preserve">Academic Achievement: </w:t>
      </w:r>
      <w:r>
        <w:rPr>
          <w:rFonts w:ascii="Times New Roman" w:hAnsi="Times New Roman"/>
          <w:color w:val="282828"/>
          <w:sz w:val="22"/>
        </w:rPr>
        <w:t>The project rigorously fulfills all 10 measurable academic and clinical objectives. Most importantly, by adhering faithfully to its 'Zero Fake Data' contract, Raktsetu sets a high standard of academic honesty, clinical precision, and engineering excellence worthy of the Master of Computer Applications program at CMPICA, CHARUSAT.</w:t>
      </w:r>
    </w:p>
    <w:p>
      <w:pPr>
        <w:spacing w:before="480"/>
        <w:jc w:val="center"/>
      </w:pPr>
      <w:r>
        <w:rPr>
          <w:rFonts w:ascii="Times New Roman" w:hAnsi="Times New Roman"/>
          <w:b/>
          <w:color w:val="C00000"/>
          <w:sz w:val="32"/>
        </w:rPr>
        <w:t>THANK YOU</w:t>
      </w:r>
    </w:p>
    <w:sectPr w:rsidR="00FC693F" w:rsidRPr="0006063C" w:rsidSect="00034616">
      <w:pgSz w:w="12240" w:h="15840"/>
      <w:pgMar w:top="1238" w:right="936" w:bottom="121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