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86E32"/>
          <w:sz w:val="52"/>
        </w:rPr>
        <w:t>🌿 EcoSage</w:t>
      </w:r>
    </w:p>
    <w:p>
      <w:pPr>
        <w:spacing w:after="280"/>
      </w:pPr>
      <w:r>
        <w:rPr>
          <w:color w:val="285078"/>
          <w:sz w:val="28"/>
        </w:rPr>
        <w:t>AI Environmental Scientist for Biodiversity Intelligence</w:t>
        <w:br/>
        <w:t>Darukaa.Earth Hackathon Challenge Submission Document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1"/>
          </w:tcPr>
          <w:p>
            <w:r>
              <w:rPr>
                <w:b/>
                <w:sz w:val="19"/>
              </w:rPr>
              <w:t>Candidate / Team:</w:t>
            </w:r>
          </w:p>
        </w:tc>
        <w:tc>
          <w:tcPr>
            <w:tcW w:type="dxa" w:w="6192"/>
            <w:shd w:fill="FFFFFF"/>
          </w:tcPr>
          <w:p>
            <w:r>
              <w:rPr>
                <w:sz w:val="19"/>
              </w:rPr>
              <w:t>Radheya Shetty (NMIMS Mumbai)</w:t>
            </w:r>
          </w:p>
        </w:tc>
      </w:tr>
      <w:tr>
        <w:tc>
          <w:tcPr>
            <w:tcW w:type="dxa" w:w="3168"/>
            <w:shd w:fill="F0F4F1"/>
          </w:tcPr>
          <w:p>
            <w:r>
              <w:rPr>
                <w:b/>
                <w:sz w:val="19"/>
              </w:rPr>
              <w:t>Primary Contact Email:</w:t>
            </w:r>
          </w:p>
        </w:tc>
        <w:tc>
          <w:tcPr>
            <w:tcW w:type="dxa" w:w="6192"/>
            <w:shd w:fill="FFFFFF"/>
          </w:tcPr>
          <w:p>
            <w:r>
              <w:rPr>
                <w:sz w:val="19"/>
              </w:rPr>
              <w:t>radheya.shetty214@nmims.in</w:t>
            </w:r>
          </w:p>
        </w:tc>
      </w:tr>
      <w:tr>
        <w:tc>
          <w:tcPr>
            <w:tcW w:type="dxa" w:w="3168"/>
            <w:shd w:fill="F0F4F1"/>
          </w:tcPr>
          <w:p>
            <w:r>
              <w:rPr>
                <w:b/>
                <w:sz w:val="19"/>
              </w:rPr>
              <w:t>GitHub Repository:</w:t>
            </w:r>
          </w:p>
        </w:tc>
        <w:tc>
          <w:tcPr>
            <w:tcW w:type="dxa" w:w="6192"/>
            <w:shd w:fill="FFFFFF"/>
          </w:tcPr>
          <w:p>
            <w:r>
              <w:rPr>
                <w:sz w:val="19"/>
              </w:rPr>
              <w:t>https://github.com/radheyashetty/ECOSAGE_hackathon</w:t>
            </w:r>
          </w:p>
        </w:tc>
      </w:tr>
      <w:tr>
        <w:tc>
          <w:tcPr>
            <w:tcW w:type="dxa" w:w="3168"/>
            <w:shd w:fill="F0F4F1"/>
          </w:tcPr>
          <w:p>
            <w:r>
              <w:rPr>
                <w:b/>
                <w:sz w:val="19"/>
              </w:rPr>
              <w:t>Live Demo URL:</w:t>
            </w:r>
          </w:p>
        </w:tc>
        <w:tc>
          <w:tcPr>
            <w:tcW w:type="dxa" w:w="6192"/>
            <w:shd w:fill="FFFFFF"/>
          </w:tcPr>
          <w:p>
            <w:r>
              <w:rPr>
                <w:sz w:val="19"/>
              </w:rPr>
              <w:t>https://ecosagehackathon-radheyashetty.streamlit.app</w:t>
            </w:r>
          </w:p>
        </w:tc>
      </w:tr>
      <w:tr>
        <w:tc>
          <w:tcPr>
            <w:tcW w:type="dxa" w:w="3168"/>
            <w:shd w:fill="F0F4F1"/>
          </w:tcPr>
          <w:p>
            <w:r>
              <w:rPr>
                <w:b/>
                <w:sz w:val="19"/>
              </w:rPr>
              <w:t>Target Challenge:</w:t>
            </w:r>
          </w:p>
        </w:tc>
        <w:tc>
          <w:tcPr>
            <w:tcW w:type="dxa" w:w="6192"/>
            <w:shd w:fill="FFFFFF"/>
          </w:tcPr>
          <w:p>
            <w:r>
              <w:rPr>
                <w:sz w:val="19"/>
              </w:rPr>
              <w:t>Darukaa.Earth AI Environmental Scientist Hackathon</w:t>
            </w:r>
          </w:p>
        </w:tc>
      </w:tr>
      <w:tr>
        <w:tc>
          <w:tcPr>
            <w:tcW w:type="dxa" w:w="3168"/>
            <w:shd w:fill="F0F4F1"/>
          </w:tcPr>
          <w:p>
            <w:r>
              <w:rPr>
                <w:b/>
                <w:sz w:val="19"/>
              </w:rPr>
              <w:t>Reviewer Access Granted to:</w:t>
            </w:r>
          </w:p>
        </w:tc>
        <w:tc>
          <w:tcPr>
            <w:tcW w:type="dxa" w:w="6192"/>
            <w:shd w:fill="FFFFFF"/>
          </w:tcPr>
          <w:p>
            <w:r>
              <w:rPr>
                <w:sz w:val="19"/>
              </w:rPr>
              <w:t>ankita.dasgupta@darukaa.com, harsh.kumar@darukaa.com,</w:t>
              <w:br/>
              <w:t>utkarsh.gauniyal@darukaa.com, guneet.mutreja@darukaa.com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86E32"/>
        </w:rPr>
        <w:t>1. Executive Summary</w:t>
      </w:r>
    </w:p>
    <w:p>
      <w:r>
        <w:t>EcoSage is an evidence-grounded conversational AI system designed to behave like an environmental scientist, not a generic chatbot. It ingests multi-variable soil, land-use, biodiversity, climate, and human-impact metrics; traverses an indexed corpus of grounded scientific evidence (FAO soil carbon reports, IPCC AR6 assessments, and peer-reviewed agroecology literature); and produces quantified, multi-variable recommendations to optimize biodiversity and ecological resilience on any target parcel of land.</w:t>
      </w:r>
    </w:p>
    <w:p>
      <w:r>
        <w:rPr>
          <w:b/>
        </w:rPr>
        <w:t>Key Core Differentiators:</w:t>
        <w:br/>
      </w:r>
      <w:r>
        <w:rPr>
          <w:b/>
        </w:rPr>
        <w:t xml:space="preserve">• Explicitly NOT an LLM wrapper: </w:t>
      </w:r>
      <w:r>
        <w:t>The LLM is never permitted to make claims without injected, retrieved scientific passages.</w:t>
        <w:br/>
      </w:r>
      <w:r>
        <w:rPr>
          <w:b/>
        </w:rPr>
        <w:t xml:space="preserve">• Multi-Metric Causal Reasoning (≥3 Variables): </w:t>
      </w:r>
      <w:r>
        <w:t>Explicitly traverses causal paths connecting Soil Health ↔ Biodiversity, Water Availability ↔ Species Survival, and Land Use ↔ Habitat Fragmentation.</w:t>
        <w:br/>
      </w:r>
      <w:r>
        <w:rPr>
          <w:b/>
        </w:rPr>
        <w:t xml:space="preserve">• Rigorous Post-Generation Validator: </w:t>
      </w:r>
      <w:r>
        <w:t>Rejects generic advice ('use sustainable practices') via strict regex and heuristics checking for numeric quantification, causal mechanism clauses, and cited document IDs.</w:t>
      </w:r>
    </w:p>
    <w:p>
      <w:pPr>
        <w:pStyle w:val="Heading1"/>
      </w:pPr>
      <w:r>
        <w:rPr>
          <w:color w:val="186E32"/>
        </w:rPr>
        <w:t>2. System Architecture &amp; Data Flow</w:t>
      </w:r>
    </w:p>
    <w:p>
      <w:r>
        <w:t>EcoSage implements a structured pipeline ensuring full explainability and auditability: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E8F5E9"/>
          </w:tcPr>
          <w:p>
            <w:r>
              <w:rPr>
                <w:b/>
              </w:rPr>
              <w:t>Pipeline Component</w:t>
            </w:r>
          </w:p>
        </w:tc>
        <w:tc>
          <w:tcPr>
            <w:tcW w:type="dxa" w:w="6192"/>
            <w:shd w:fill="E8F5E9"/>
          </w:tcPr>
          <w:p>
            <w:r>
              <w:rPr>
                <w:b/>
              </w:rPr>
              <w:t>Responsibility &amp; Implementation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1. Input Handler &amp; Session Memory</w:t>
            </w:r>
          </w:p>
        </w:tc>
        <w:tc>
          <w:tcPr>
            <w:tcW w:type="dxa" w:w="6192"/>
          </w:tcPr>
          <w:p>
            <w:r>
              <w:t>Accepts free-text or structured JSON (matching PRD Section 8.2). Extracts metrics via heuristic regex. Preserves session history.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2. Slot-Filling Validator</w:t>
            </w:r>
          </w:p>
        </w:tc>
        <w:tc>
          <w:tcPr>
            <w:tcW w:type="dxa" w:w="6192"/>
          </w:tcPr>
          <w:p>
            <w:r>
              <w:t>Monitors 5 core categories (Soil, Land Use, Climate, Biodiversity, Human Impact). If &lt;3 categories are supplied, asks targeted clarifying questions.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3. Knowledge Base &amp; Vector Store</w:t>
            </w:r>
          </w:p>
        </w:tc>
        <w:tc>
          <w:tcPr>
            <w:tcW w:type="dxa" w:w="6192"/>
          </w:tcPr>
          <w:p>
            <w:r>
              <w:t>ChromaDB local vector database containing 60 chunked passages from FAO-SOC-2017, IPCC-AR6-LU, and 6 peer-reviewed papers embedded with gemini-embedding-001.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4. Multi-Metric Causal Graph</w:t>
            </w:r>
          </w:p>
        </w:tc>
        <w:tc>
          <w:tcPr>
            <w:tcW w:type="dxa" w:w="6192"/>
          </w:tcPr>
          <w:p>
            <w:r>
              <w:t>26 source-tagged causal edges traversing 23 environmental metrics to uncover mechanistic linkages before text generation.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5. Structured Table Lookups</w:t>
            </w:r>
          </w:p>
        </w:tc>
        <w:tc>
          <w:tcPr>
            <w:tcW w:type="dxa" w:w="6192"/>
          </w:tcPr>
          <w:p>
            <w:r>
              <w:t>Direct tabular joins against JSON benchmark tables for SOC by biome, species richness indices, and rainfall-biodiversity modifiers.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6. Grounded Generator</w:t>
            </w:r>
          </w:p>
        </w:tc>
        <w:tc>
          <w:tcPr>
            <w:tcW w:type="dxa" w:w="6192"/>
          </w:tcPr>
          <w:p>
            <w:r>
              <w:t>Constructs a strict context prompt ensuring only retrieved data is passed into Gemini with multi-model resilient fallback.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7. Output Validator</w:t>
            </w:r>
          </w:p>
        </w:tc>
        <w:tc>
          <w:tcPr>
            <w:tcW w:type="dxa" w:w="6192"/>
          </w:tcPr>
          <w:p>
            <w:r>
              <w:t>Checks 8 validation rules (citations, numbers/quantification, substantive mechanism, ≥3 metrics, no generic blocklisted phrases). Retries up to 2 times upon failure.</w:t>
            </w:r>
          </w:p>
        </w:tc>
      </w:tr>
    </w:tbl>
    <w:p>
      <w:pPr>
        <w:pStyle w:val="Heading1"/>
      </w:pPr>
      <w:r>
        <w:rPr>
          <w:color w:val="186E32"/>
        </w:rPr>
        <w:t>3. Multi-Metric Causal Graph (Core Differentiator)</w:t>
      </w:r>
    </w:p>
    <w:p>
      <w:r>
        <w:t>To satisfy the hackathon's hard constraint requiring reasoning across ≥3 environmental variables, EcoSage implements a directed graph with 26 source-tagged edges covering all three required clusters:</w:t>
      </w:r>
    </w:p>
    <w:p>
      <w:r>
        <w:t>• Soil Health ↔ Biodiversity Cluster:</w:t>
        <w:br/>
        <w:t xml:space="preserve">  intercropping → root_diversity (+10-20% SOC) → soil_organic_carbon → microbial_diversity (20-40% increase per 1% SOC) → nutrient_cycling → species_richness</w:t>
        <w:br/>
        <w:br/>
        <w:t>• Water Availability ↔ Species Survival Cluster:</w:t>
        <w:br/>
        <w:t xml:space="preserve">  soil_organic_carbon → soil_moisture_retention (1-3% increase per 1% SOC) → buffers water_stress → species_survival</w:t>
        <w:br/>
        <w:br/>
        <w:t>• Land Use ↔ Habitat Fragmentation Cluster:</w:t>
        <w:br/>
        <w:t xml:space="preserve">  monoculture_intensification → habitat_fragmentation (species decline 20-50% below 10ha) → loss of pollinator_diversity (30-50% decline) → overall species_richness</w:t>
      </w:r>
    </w:p>
    <w:p>
      <w:pPr>
        <w:pStyle w:val="Heading1"/>
      </w:pPr>
      <w:r>
        <w:rPr>
          <w:color w:val="186E32"/>
        </w:rPr>
        <w:t>4. Automated Verification &amp; Parameter Matrix Results (140/140 Passed)</w:t>
      </w:r>
    </w:p>
    <w:p>
      <w:r>
        <w:rPr>
          <w:b/>
        </w:rPr>
        <w:t xml:space="preserve">EcoSage achieved a 100% pass rate (140 out of 140 automated tests) </w:t>
      </w:r>
      <w:r>
        <w:t>covering parameter boundary validation across all 12 variables, 32 category permutations, text extraction, 5 diverse biomes, geo-prior inference, ground-truth evaluation benchmark, failsafe engine, deterministic confidence bands, and the PRD Section 6 acceptance test suite: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shd w:fill="E8F5E9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608"/>
            <w:shd w:fill="E8F5E9"/>
          </w:tcPr>
          <w:p>
            <w:r>
              <w:rPr>
                <w:b/>
              </w:rPr>
              <w:t>Verification Details</w:t>
            </w:r>
          </w:p>
        </w:tc>
        <w:tc>
          <w:tcPr>
            <w:tcW w:type="dxa" w:w="1440"/>
            <w:shd w:fill="E8F5E9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3312"/>
          </w:tcPr>
          <w:p>
            <w:r>
              <w:t>Parameter Boundary Suite (58 tests)</w:t>
            </w:r>
          </w:p>
        </w:tc>
        <w:tc>
          <w:tcPr>
            <w:tcW w:type="dxa" w:w="4608"/>
          </w:tcPr>
          <w:p>
            <w:r>
              <w:t>Tests valid &amp; out-of-bound limits for all 12 environmental metrics</w:t>
            </w:r>
          </w:p>
        </w:tc>
        <w:tc>
          <w:tcPr>
            <w:tcW w:type="dxa" w:w="1440"/>
          </w:tcPr>
          <w:p>
            <w:r>
              <w:rPr>
                <w:b/>
                <w:color w:val="186E32"/>
              </w:rPr>
              <w:t>58/58 PASSED</w:t>
            </w:r>
          </w:p>
        </w:tc>
      </w:tr>
      <w:tr>
        <w:tc>
          <w:tcPr>
            <w:tcW w:type="dxa" w:w="3312"/>
          </w:tcPr>
          <w:p>
            <w:r>
              <w:t>Category Permutations Suite (32 tests)</w:t>
            </w:r>
          </w:p>
        </w:tc>
        <w:tc>
          <w:tcPr>
            <w:tcW w:type="dxa" w:w="4608"/>
          </w:tcPr>
          <w:p>
            <w:r>
              <w:t>Tests completeness &amp; slot-filling for all 32 subset combinations</w:t>
            </w:r>
          </w:p>
        </w:tc>
        <w:tc>
          <w:tcPr>
            <w:tcW w:type="dxa" w:w="1440"/>
          </w:tcPr>
          <w:p>
            <w:r>
              <w:rPr>
                <w:b/>
                <w:color w:val="186E32"/>
              </w:rPr>
              <w:t>32/32 PASSED</w:t>
            </w:r>
          </w:p>
        </w:tc>
      </w:tr>
      <w:tr>
        <w:tc>
          <w:tcPr>
            <w:tcW w:type="dxa" w:w="3312"/>
          </w:tcPr>
          <w:p>
            <w:r>
              <w:t>Free-Text Heuristics Suite (20 tests)</w:t>
            </w:r>
          </w:p>
        </w:tc>
        <w:tc>
          <w:tcPr>
            <w:tcW w:type="dxa" w:w="4608"/>
          </w:tcPr>
          <w:p>
            <w:r>
              <w:t>Tests natural language metric extraction across all variables</w:t>
            </w:r>
          </w:p>
        </w:tc>
        <w:tc>
          <w:tcPr>
            <w:tcW w:type="dxa" w:w="1440"/>
          </w:tcPr>
          <w:p>
            <w:r>
              <w:rPr>
                <w:b/>
                <w:color w:val="186E32"/>
              </w:rPr>
              <w:t>20/20 PASSED</w:t>
            </w:r>
          </w:p>
        </w:tc>
      </w:tr>
      <w:tr>
        <w:tc>
          <w:tcPr>
            <w:tcW w:type="dxa" w:w="3312"/>
          </w:tcPr>
          <w:p>
            <w:r>
              <w:t>Geo-Prior Climate Inference (9 tests)</w:t>
            </w:r>
          </w:p>
        </w:tc>
        <w:tc>
          <w:tcPr>
            <w:tcW w:type="dxa" w:w="4608"/>
          </w:tcPr>
          <w:p>
            <w:r>
              <w:t>Tests FR-5.3 offline coordinate-to-climate reverse inference</w:t>
            </w:r>
          </w:p>
        </w:tc>
        <w:tc>
          <w:tcPr>
            <w:tcW w:type="dxa" w:w="1440"/>
          </w:tcPr>
          <w:p>
            <w:r>
              <w:rPr>
                <w:b/>
                <w:color w:val="186E32"/>
              </w:rPr>
              <w:t>9/9 PASSED</w:t>
            </w:r>
          </w:p>
        </w:tc>
      </w:tr>
      <w:tr>
        <w:tc>
          <w:tcPr>
            <w:tcW w:type="dxa" w:w="3312"/>
          </w:tcPr>
          <w:p>
            <w:r>
              <w:t>Diverse Biome Scenarios (5 tests)</w:t>
            </w:r>
          </w:p>
        </w:tc>
        <w:tc>
          <w:tcPr>
            <w:tcW w:type="dxa" w:w="4608"/>
          </w:tcPr>
          <w:p>
            <w:r>
              <w:t>Tests semi-arid, tropical, arid, temperate, and wetland regimes</w:t>
            </w:r>
          </w:p>
        </w:tc>
        <w:tc>
          <w:tcPr>
            <w:tcW w:type="dxa" w:w="1440"/>
          </w:tcPr>
          <w:p>
            <w:r>
              <w:rPr>
                <w:b/>
                <w:color w:val="186E32"/>
              </w:rPr>
              <w:t>5/5 PASSED</w:t>
            </w:r>
          </w:p>
        </w:tc>
      </w:tr>
      <w:tr>
        <w:tc>
          <w:tcPr>
            <w:tcW w:type="dxa" w:w="3312"/>
          </w:tcPr>
          <w:p>
            <w:r>
              <w:t>Causal Graph Reachability (5 tests)</w:t>
            </w:r>
          </w:p>
        </w:tc>
        <w:tc>
          <w:tcPr>
            <w:tcW w:type="dxa" w:w="4608"/>
          </w:tcPr>
          <w:p>
            <w:r>
              <w:t>Verifies all 23 metrics have edges and paths to species richness</w:t>
            </w:r>
          </w:p>
        </w:tc>
        <w:tc>
          <w:tcPr>
            <w:tcW w:type="dxa" w:w="1440"/>
          </w:tcPr>
          <w:p>
            <w:r>
              <w:rPr>
                <w:b/>
                <w:color w:val="186E32"/>
              </w:rPr>
              <w:t>5/5 PASSED</w:t>
            </w:r>
          </w:p>
        </w:tc>
      </w:tr>
      <w:tr>
        <w:tc>
          <w:tcPr>
            <w:tcW w:type="dxa" w:w="3312"/>
          </w:tcPr>
          <w:p>
            <w:r>
              <w:t>Scientific Ground-Truth Benchmark (5 tests)</w:t>
            </w:r>
          </w:p>
        </w:tc>
        <w:tc>
          <w:tcPr>
            <w:tcW w:type="dxa" w:w="4608"/>
          </w:tcPr>
          <w:p>
            <w:r>
              <w:t>Tests causal density (&gt;=3 vars), trade-offs, economics, and quantification</w:t>
            </w:r>
          </w:p>
        </w:tc>
        <w:tc>
          <w:tcPr>
            <w:tcW w:type="dxa" w:w="1440"/>
          </w:tcPr>
          <w:p>
            <w:r>
              <w:rPr>
                <w:b/>
                <w:color w:val="186E32"/>
              </w:rPr>
              <w:t>5/5 PASSED</w:t>
            </w:r>
          </w:p>
        </w:tc>
      </w:tr>
      <w:tr>
        <w:tc>
          <w:tcPr>
            <w:tcW w:type="dxa" w:w="3312"/>
          </w:tcPr>
          <w:p>
            <w:r>
              <w:t>Deterministic Failsafe Engine</w:t>
            </w:r>
          </w:p>
        </w:tc>
        <w:tc>
          <w:tcPr>
            <w:tcW w:type="dxa" w:w="4608"/>
          </w:tcPr>
          <w:p>
            <w:r>
              <w:t>Offline rule-based generation with zero cloud dependency</w:t>
            </w:r>
          </w:p>
        </w:tc>
        <w:tc>
          <w:tcPr>
            <w:tcW w:type="dxa" w:w="1440"/>
          </w:tcPr>
          <w:p>
            <w:r>
              <w:rPr>
                <w:b/>
                <w:color w:val="186E32"/>
              </w:rPr>
              <w:t>PASSED</w:t>
            </w:r>
          </w:p>
        </w:tc>
      </w:tr>
      <w:tr>
        <w:tc>
          <w:tcPr>
            <w:tcW w:type="dxa" w:w="3312"/>
          </w:tcPr>
          <w:p>
            <w:r>
              <w:t>PRD Section 6 Acceptance Benchmark</w:t>
            </w:r>
          </w:p>
        </w:tc>
        <w:tc>
          <w:tcPr>
            <w:tcW w:type="dxa" w:w="4608"/>
          </w:tcPr>
          <w:p>
            <w:r>
              <w:t>Input: 0.3% SOC, low rainfall, monoculture wheat, semi-arid</w:t>
            </w:r>
          </w:p>
        </w:tc>
        <w:tc>
          <w:tcPr>
            <w:tcW w:type="dxa" w:w="1440"/>
          </w:tcPr>
          <w:p>
            <w:r>
              <w:rPr>
                <w:b/>
                <w:color w:val="186E32"/>
              </w:rPr>
              <w:t>PASSED</w:t>
            </w:r>
          </w:p>
        </w:tc>
      </w:tr>
      <w:tr>
        <w:tc>
          <w:tcPr>
            <w:tcW w:type="dxa" w:w="3312"/>
          </w:tcPr>
          <w:p>
            <w:r>
              <w:t>Agroforestry / Intercropping Selection</w:t>
            </w:r>
          </w:p>
        </w:tc>
        <w:tc>
          <w:tcPr>
            <w:tcW w:type="dxa" w:w="4608"/>
          </w:tcPr>
          <w:p>
            <w:r>
              <w:t>Recommends agroforestry and legume intercropping</w:t>
            </w:r>
          </w:p>
        </w:tc>
        <w:tc>
          <w:tcPr>
            <w:tcW w:type="dxa" w:w="1440"/>
          </w:tcPr>
          <w:p>
            <w:r>
              <w:rPr>
                <w:b/>
                <w:color w:val="186E32"/>
              </w:rPr>
              <w:t>PASSED</w:t>
            </w:r>
          </w:p>
        </w:tc>
      </w:tr>
      <w:tr>
        <w:tc>
          <w:tcPr>
            <w:tcW w:type="dxa" w:w="3312"/>
          </w:tcPr>
          <w:p>
            <w:r>
              <w:t>Quantified Estimate Verification</w:t>
            </w:r>
          </w:p>
        </w:tc>
        <w:tc>
          <w:tcPr>
            <w:tcW w:type="dxa" w:w="4608"/>
          </w:tcPr>
          <w:p>
            <w:r>
              <w:t>Quantifies +15-25% SOC, +40-60% bird richness</w:t>
            </w:r>
          </w:p>
        </w:tc>
        <w:tc>
          <w:tcPr>
            <w:tcW w:type="dxa" w:w="1440"/>
          </w:tcPr>
          <w:p>
            <w:r>
              <w:rPr>
                <w:b/>
                <w:color w:val="186E32"/>
              </w:rPr>
              <w:t>PASSED</w:t>
            </w:r>
          </w:p>
        </w:tc>
      </w:tr>
      <w:tr>
        <w:tc>
          <w:tcPr>
            <w:tcW w:type="dxa" w:w="3312"/>
          </w:tcPr>
          <w:p>
            <w:r>
              <w:t>FAO &amp; IPCC Grounded Citation</w:t>
            </w:r>
          </w:p>
        </w:tc>
        <w:tc>
          <w:tcPr>
            <w:tcW w:type="dxa" w:w="4608"/>
          </w:tcPr>
          <w:p>
            <w:r>
              <w:t>Cites FAO-SOC-2017 and IPCC-AR6-LU by name and ID</w:t>
            </w:r>
          </w:p>
        </w:tc>
        <w:tc>
          <w:tcPr>
            <w:tcW w:type="dxa" w:w="1440"/>
          </w:tcPr>
          <w:p>
            <w:r>
              <w:rPr>
                <w:b/>
                <w:color w:val="186E32"/>
              </w:rPr>
              <w:t>PASSED</w:t>
            </w:r>
          </w:p>
        </w:tc>
      </w:tr>
      <w:tr>
        <w:tc>
          <w:tcPr>
            <w:tcW w:type="dxa" w:w="3312"/>
          </w:tcPr>
          <w:p>
            <w:r>
              <w:t>Multi-Metric Linkage (≥3 Variables)</w:t>
            </w:r>
          </w:p>
        </w:tc>
        <w:tc>
          <w:tcPr>
            <w:tcW w:type="dxa" w:w="4608"/>
          </w:tcPr>
          <w:p>
            <w:r>
              <w:t>Links 3+ variables (SOC, root diversity, species richness)</w:t>
            </w:r>
          </w:p>
        </w:tc>
        <w:tc>
          <w:tcPr>
            <w:tcW w:type="dxa" w:w="1440"/>
          </w:tcPr>
          <w:p>
            <w:r>
              <w:rPr>
                <w:b/>
                <w:color w:val="186E32"/>
              </w:rPr>
              <w:t>PASSED</w:t>
            </w:r>
          </w:p>
        </w:tc>
      </w:tr>
      <w:tr>
        <w:tc>
          <w:tcPr>
            <w:tcW w:type="dxa" w:w="3312"/>
          </w:tcPr>
          <w:p>
            <w:r>
              <w:t>Low Rainfall Constraint Handling</w:t>
            </w:r>
          </w:p>
        </w:tc>
        <w:tc>
          <w:tcPr>
            <w:tcW w:type="dxa" w:w="4608"/>
          </w:tcPr>
          <w:p>
            <w:r>
              <w:t>Flags low rainfall / drought stress on species selection</w:t>
            </w:r>
          </w:p>
        </w:tc>
        <w:tc>
          <w:tcPr>
            <w:tcW w:type="dxa" w:w="1440"/>
          </w:tcPr>
          <w:p>
            <w:r>
              <w:rPr>
                <w:b/>
                <w:color w:val="186E32"/>
              </w:rPr>
              <w:t>PASSED</w:t>
            </w:r>
          </w:p>
        </w:tc>
      </w:tr>
      <w:tr>
        <w:tc>
          <w:tcPr>
            <w:tcW w:type="dxa" w:w="3312"/>
          </w:tcPr>
          <w:p>
            <w:r>
              <w:t>Adversarial Slot-Filling Test</w:t>
            </w:r>
          </w:p>
        </w:tc>
        <w:tc>
          <w:tcPr>
            <w:tcW w:type="dxa" w:w="4608"/>
          </w:tcPr>
          <w:p>
            <w:r>
              <w:t>Vague query ('Help my land') triggers clarifying questions</w:t>
            </w:r>
          </w:p>
        </w:tc>
        <w:tc>
          <w:tcPr>
            <w:tcW w:type="dxa" w:w="1440"/>
          </w:tcPr>
          <w:p>
            <w:r>
              <w:rPr>
                <w:b/>
                <w:color w:val="186E32"/>
              </w:rPr>
              <w:t>PASSED</w:t>
            </w:r>
          </w:p>
        </w:tc>
      </w:tr>
      <w:tr>
        <w:tc>
          <w:tcPr>
            <w:tcW w:type="dxa" w:w="3312"/>
          </w:tcPr>
          <w:p>
            <w:r>
              <w:t>Validator &amp; Confidence Bands (15 tests)</w:t>
            </w:r>
          </w:p>
        </w:tc>
        <w:tc>
          <w:tcPr>
            <w:tcW w:type="dxa" w:w="4608"/>
          </w:tcPr>
          <w:p>
            <w:r>
              <w:t>Rejects missing sources, unquantified text, generic advice, and verifies 3 deterministic confidence bands (High/Medium/Low)</w:t>
            </w:r>
          </w:p>
        </w:tc>
        <w:tc>
          <w:tcPr>
            <w:tcW w:type="dxa" w:w="1440"/>
          </w:tcPr>
          <w:p>
            <w:r>
              <w:rPr>
                <w:b/>
                <w:color w:val="186E32"/>
              </w:rPr>
              <w:t>15/15 PASSED</w:t>
            </w:r>
          </w:p>
        </w:tc>
      </w:tr>
    </w:tbl>
    <w:p>
      <w:pPr>
        <w:pStyle w:val="Heading1"/>
      </w:pPr>
      <w:r>
        <w:rPr>
          <w:color w:val="186E32"/>
        </w:rPr>
        <w:t>5. Evaluation Criteria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E8F5E9"/>
          </w:tcPr>
          <w:p>
            <w:r>
              <w:rPr>
                <w:b/>
              </w:rPr>
              <w:t>Criterion &amp; Weight</w:t>
            </w:r>
          </w:p>
        </w:tc>
        <w:tc>
          <w:tcPr>
            <w:tcW w:type="dxa" w:w="6192"/>
            <w:shd w:fill="E8F5E9"/>
          </w:tcPr>
          <w:p>
            <w:r>
              <w:rPr>
                <w:b/>
              </w:rPr>
              <w:t>How EcoSage Satisfies It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Depth of Reasoning (30%)</w:t>
            </w:r>
          </w:p>
        </w:tc>
        <w:tc>
          <w:tcPr>
            <w:tcW w:type="dxa" w:w="6192"/>
          </w:tcPr>
          <w:p>
            <w:r>
              <w:t>Multi-metric causal graph with 26 edges traversing soil, water, and fragmentation relationships. Validator rejects non-causal outputs.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Scientific Grounding (25%)</w:t>
            </w:r>
          </w:p>
        </w:tc>
        <w:tc>
          <w:tcPr>
            <w:tcW w:type="dxa" w:w="6192"/>
          </w:tcPr>
          <w:p>
            <w:r>
              <w:t>ChromaDB vector RAG over FAO reports, IPCC AR6 chapters, and 6 peer-reviewed papers. Mandatory citation check.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Knowledge System Design (20%)</w:t>
            </w:r>
          </w:p>
        </w:tc>
        <w:tc>
          <w:tcPr>
            <w:tcW w:type="dxa" w:w="6192"/>
          </w:tcPr>
          <w:p>
            <w:r>
              <w:t>Local ChromaDB store + structured JSON tables. Transparent /debug/retrieval/{session_id} audit endpoint with similarity scores.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Conversational Intelligence (15%)</w:t>
            </w:r>
          </w:p>
        </w:tc>
        <w:tc>
          <w:tcPr>
            <w:tcW w:type="dxa" w:w="6192"/>
          </w:tcPr>
          <w:p>
            <w:r>
              <w:t>Session memory and slot-filling across 5 environmental categories. Incomplete input triggers clarifying questions.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Output Clarity (10%)</w:t>
            </w:r>
          </w:p>
        </w:tc>
        <w:tc>
          <w:tcPr>
            <w:tcW w:type="dxa" w:w="6192"/>
          </w:tcPr>
          <w:p>
            <w:r>
              <w:t>Strict JSON contract. Streamlit workstation with dedicated 'Sources Used' expander panel, quantified tags, causal pathway pills, and report download.</w:t>
            </w:r>
          </w:p>
        </w:tc>
      </w:tr>
    </w:tbl>
    <w:p>
      <w:pPr>
        <w:pStyle w:val="Heading1"/>
      </w:pPr>
      <w:r>
        <w:rPr>
          <w:color w:val="186E32"/>
        </w:rPr>
        <w:t>6. Evaluator Streamlit Workstation Interface</w:t>
      </w:r>
    </w:p>
    <w:p>
      <w:r>
        <w:t>EcoSage delivers a professional agronomist-grade workstation designed for evaluator visual impact and ergonomic clarity. Adhering to a strict flat design system (zero drop shadows/gradients, strictly two typographic weights 400 and 500, and 4 semantic colors: Green=high confidence/success, Amber=medium confidence/short horizon, Red=low confidence/error, Blue=informational), the interface provides 5 distinct views documented in the screenshots directory: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E8F5E9"/>
          </w:tcPr>
          <w:p>
            <w:r>
              <w:rPr>
                <w:b/>
              </w:rPr>
              <w:t>Workstation Screen</w:t>
            </w:r>
          </w:p>
        </w:tc>
        <w:tc>
          <w:tcPr>
            <w:tcW w:type="dxa" w:w="2880"/>
            <w:shd w:fill="E8F5E9"/>
          </w:tcPr>
          <w:p>
            <w:r>
              <w:rPr>
                <w:b/>
              </w:rPr>
              <w:t>Asset File</w:t>
            </w:r>
          </w:p>
        </w:tc>
        <w:tc>
          <w:tcPr>
            <w:tcW w:type="dxa" w:w="3312"/>
            <w:shd w:fill="E8F5E9"/>
          </w:tcPr>
          <w:p>
            <w:r>
              <w:rPr>
                <w:b/>
              </w:rPr>
              <w:t>Evaluator Impact &amp; Features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1. Landing Explainer &amp; 1-Click Test Chips</w:t>
            </w:r>
          </w:p>
        </w:tc>
        <w:tc>
          <w:tcPr>
            <w:tcW w:type="dxa" w:w="2880"/>
          </w:tcPr>
          <w:p>
            <w:r>
              <w:t>screenshots/01_landing_page.png</w:t>
            </w:r>
          </w:p>
        </w:tc>
        <w:tc>
          <w:tcPr>
            <w:tcW w:type="dxa" w:w="3312"/>
          </w:tcPr>
          <w:p>
            <w:r>
              <w:t>3 explainer cards (Grounded in FAO/IPCC, Multi-Metric Causal Graph, Validated Not Generic), interactive 5-slot category bar, and 1-click test scenario chips.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2. Field Report Card with Causal Trail</w:t>
            </w:r>
          </w:p>
        </w:tc>
        <w:tc>
          <w:tcPr>
            <w:tcW w:type="dxa" w:w="2880"/>
          </w:tcPr>
          <w:p>
            <w:r>
              <w:t>screenshots/02_advisory_field_report.png</w:t>
            </w:r>
          </w:p>
        </w:tc>
        <w:tc>
          <w:tcPr>
            <w:tcW w:type="dxa" w:w="3312"/>
          </w:tcPr>
          <w:p>
            <w:r>
              <w:t>Multi-metric recommendation card with semantic confidence badge, 'Why this matters' line, causal pathway trail pills, operational trade-offs, and 1-click .md advisory report export.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3. Grounded Retrieval Detail &amp; Provenance</w:t>
            </w:r>
          </w:p>
        </w:tc>
        <w:tc>
          <w:tcPr>
            <w:tcW w:type="dxa" w:w="2880"/>
          </w:tcPr>
          <w:p>
            <w:r>
              <w:t>screenshots/03_retrieval_evidence_detail.png</w:t>
            </w:r>
          </w:p>
        </w:tc>
        <w:tc>
          <w:tcPr>
            <w:tcW w:type="dxa" w:w="3312"/>
          </w:tcPr>
          <w:p>
            <w:r>
              <w:t>Inspectable ChromaDB audit expander displaying document IDs, exact cosine similarities (e.g. 0.794, 0.788), chunk excerpts, and supported recommendation provenance.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4. Scenario Comparison ('Try Changing One Variable')</w:t>
            </w:r>
          </w:p>
        </w:tc>
        <w:tc>
          <w:tcPr>
            <w:tcW w:type="dxa" w:w="2880"/>
          </w:tcPr>
          <w:p>
            <w:r>
              <w:t>screenshots/04_scenario_comparison.png</w:t>
            </w:r>
          </w:p>
        </w:tc>
        <w:tc>
          <w:tcPr>
            <w:tcW w:type="dxa" w:w="3312"/>
          </w:tcPr>
          <w:p>
            <w:r>
              <w:t>Side-by-side sensitivity workstation comparing baseline and perturbed environmental regimes in real-time to observe dynamic causal graph adaptation.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5. Clarifying Inquiry Flow</w:t>
            </w:r>
          </w:p>
        </w:tc>
        <w:tc>
          <w:tcPr>
            <w:tcW w:type="dxa" w:w="2880"/>
          </w:tcPr>
          <w:p>
            <w:r>
              <w:t>screenshots/05_clarifying_questions.png</w:t>
            </w:r>
          </w:p>
        </w:tc>
        <w:tc>
          <w:tcPr>
            <w:tcW w:type="dxa" w:w="3312"/>
          </w:tcPr>
          <w:p>
            <w:r>
              <w:t>Warm blue informational card asking targeted clarifying questions with discrete parameter buttons when incomplete or vague inputs are supplied.</w:t>
            </w:r>
          </w:p>
        </w:tc>
      </w:tr>
    </w:tbl>
    <w:p>
      <w:pPr>
        <w:spacing w:before="160"/>
      </w:pPr>
    </w:p>
    <w:p>
      <w:pPr>
        <w:pStyle w:val="Heading2"/>
      </w:pPr>
      <w:r>
        <w:rPr>
          <w:color w:val="285078"/>
        </w:rPr>
        <w:t>6.1 Visual Workstation Screen Captures</w:t>
      </w:r>
    </w:p>
    <w:p>
      <w:pPr>
        <w:spacing w:before="160" w:after="40"/>
      </w:pPr>
      <w:r>
        <w:drawing>
          <wp:inline xmlns:a="http://schemas.openxmlformats.org/drawingml/2006/main" xmlns:pic="http://schemas.openxmlformats.org/drawingml/2006/picture">
            <wp:extent cx="5486400" cy="31771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7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6B7280"/>
          <w:sz w:val="17"/>
        </w:rPr>
        <w:t>Figure 1: Workstation Landing Page with 3 Explainer Cards, 5-Slot Category Bar, and 1-Click Evaluation Chips.</w:t>
      </w:r>
    </w:p>
    <w:p>
      <w:pPr>
        <w:spacing w:before="160" w:after="40"/>
      </w:pPr>
      <w:r>
        <w:drawing>
          <wp:inline xmlns:a="http://schemas.openxmlformats.org/drawingml/2006/main" xmlns:pic="http://schemas.openxmlformats.org/drawingml/2006/picture">
            <wp:extent cx="5486400" cy="31771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7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6B7280"/>
          <w:sz w:val="17"/>
        </w:rPr>
        <w:t>Figure 2: Grounded Advisory Field Report Card with Semantic Badges, 'Why this matters', Causal Traversal Chips, and Trade-offs.</w:t>
      </w:r>
    </w:p>
    <w:p>
      <w:pPr>
        <w:spacing w:before="160" w:after="40"/>
      </w:pPr>
      <w:r>
        <w:drawing>
          <wp:inline xmlns:a="http://schemas.openxmlformats.org/drawingml/2006/main" xmlns:pic="http://schemas.openxmlformats.org/drawingml/2006/picture">
            <wp:extent cx="5486400" cy="31771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7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6B7280"/>
          <w:sz w:val="17"/>
        </w:rPr>
        <w:t>Figure 3: ChromaDB Retrieval Provenance Audit Expander displaying Document IDs, Cosine Similarities, and Supported Recommendations.</w:t>
      </w:r>
    </w:p>
    <w:p>
      <w:pPr>
        <w:spacing w:before="160" w:after="40"/>
      </w:pPr>
      <w:r>
        <w:drawing>
          <wp:inline xmlns:a="http://schemas.openxmlformats.org/drawingml/2006/main" xmlns:pic="http://schemas.openxmlformats.org/drawingml/2006/picture">
            <wp:extent cx="5486400" cy="31771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7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6B7280"/>
          <w:sz w:val="17"/>
        </w:rPr>
        <w:t>Figure 4: Parameter Sensitivity Analysis ('Try Changing One Variable') executing live dual-scenario comparison.</w:t>
      </w:r>
    </w:p>
    <w:p>
      <w:pPr>
        <w:spacing w:before="160" w:after="40"/>
      </w:pPr>
      <w:r>
        <w:drawing>
          <wp:inline xmlns:a="http://schemas.openxmlformats.org/drawingml/2006/main" xmlns:pic="http://schemas.openxmlformats.org/drawingml/2006/picture">
            <wp:extent cx="5486400" cy="31771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7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6B7280"/>
          <w:sz w:val="17"/>
        </w:rPr>
        <w:t>Figure 5: Conversational Clarifying Flow asking targeted questions with interactive discrete parameter buttons.</w:t>
      </w:r>
    </w:p>
    <w:p>
      <w:pPr>
        <w:pStyle w:val="Heading1"/>
      </w:pPr>
      <w:r>
        <w:rPr>
          <w:color w:val="186E32"/>
        </w:rPr>
        <w:t>7. Architecture, Database/Schema, Local Setup &amp; CI/CD</w:t>
      </w:r>
    </w:p>
    <w:p>
      <w:r>
        <w:t>• Database / Vector Schema:</w:t>
        <w:br/>
        <w:t xml:space="preserve">  - ChromaDB Collection: 'ecosage_knowledge' (60 vector chunks, embedded via gemini-embedding-001 with 768-dim vectors).</w:t>
        <w:br/>
        <w:t xml:space="preserve">  - Metadata Fields: document_id, source_name, section_title, target_metrics, chunk_index.</w:t>
        <w:br/>
        <w:t xml:space="preserve">  - Reference Benchmark Tables: JSON schemas in corpus/tables/ for SOC % benchmarks by biome, species richness baselines, and rainfall modifiers.</w:t>
        <w:br/>
        <w:br/>
        <w:t>• CI/CD Pipeline (.github/workflows/ci.yml):</w:t>
        <w:br/>
        <w:t xml:space="preserve">  - Multi-OS, multi-Python matrix testing across Python 3.11, 3.12, 3.13, and 3.14.</w:t>
        <w:br/>
        <w:t xml:space="preserve">  - Automated Ruff linter check + full Pytest suite execution on every pull request and push to main.</w:t>
        <w:br/>
        <w:t xml:space="preserve">  - Standalone HTML test report artifact generated and uploaded on every build for reviewer auditability.</w:t>
        <w:br/>
        <w:br/>
        <w:t>• Windows One-Click Quickstart (run.bat):</w:t>
        <w:br/>
        <w:t xml:space="preserve">  - Simply double-click 'run.bat' for an interactive menu:</w:t>
        <w:br/>
        <w:t xml:space="preserve">    [1] Streamlit UI (Frontend Dashboard)</w:t>
        <w:br/>
        <w:t xml:space="preserve">    [2] Full Stack (FastAPI Backend + Streamlit UI)</w:t>
        <w:br/>
        <w:t xml:space="preserve">    [3] Launch FastAPI Backend Server Only (Port 8000)</w:t>
        <w:br/>
        <w:t xml:space="preserve">    [4] Ingest Knowledge Base into ChromaDB</w:t>
        <w:br/>
        <w:t xml:space="preserve">    [5] Run Full 140-Test Suite</w:t>
        <w:br/>
        <w:t xml:space="preserve">    [6] Run Code Quality Check (Ruff Linter)</w:t>
        <w:br/>
        <w:br/>
        <w:t>• Manual Command Line Setup:</w:t>
        <w:br/>
        <w:t xml:space="preserve">  1. git clone &lt;YOUR_REPO_URL&gt; &amp;&amp; cd ecosage</w:t>
        <w:br/>
        <w:t xml:space="preserve">  2. pip install -r requirements.txt</w:t>
        <w:br/>
        <w:t xml:space="preserve">  3. copy .env.example .env (add free GOOGLE_API_KEY from aistudio.google.com)</w:t>
        <w:br/>
        <w:t xml:space="preserve">  4. python -m ecosage.ingest</w:t>
        <w:br/>
        <w:t xml:space="preserve">  5. pytest -v  (Runs all 140 tests)</w:t>
        <w:br/>
        <w:t xml:space="preserve">  6. streamlit run ui/app.py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