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D88" w:rsidRP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3D88">
        <w:rPr>
          <w:rFonts w:ascii="Times New Roman" w:eastAsia="Times New Roman" w:hAnsi="Times New Roman" w:cs="Times New Roman"/>
          <w:b/>
          <w:bCs/>
          <w:sz w:val="28"/>
          <w:szCs w:val="28"/>
        </w:rPr>
        <w:t>Customer Churn Analysis Report</w:t>
      </w:r>
    </w:p>
    <w:p w:rsid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This report presents the exploratory data analysis (EDA) and data preparation steps undertaken to support the development of a predictive model for customer churn. It outlines the data identification process, key exploratory findings, and the cleaning and preprocessing steps applied to prepare the dataset for model development.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b/>
          <w:bCs/>
          <w:sz w:val="24"/>
          <w:szCs w:val="24"/>
        </w:rPr>
        <w:t>Data Identification and Collection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The following data sets were identified as relevant for predicting customer churn:</w:t>
      </w:r>
    </w:p>
    <w:p w:rsidR="003F3D88" w:rsidRPr="003F3D88" w:rsidRDefault="003F3D88" w:rsidP="003F3D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Transaction History</w:t>
      </w:r>
    </w:p>
    <w:p w:rsidR="003F3D88" w:rsidRPr="003F3D88" w:rsidRDefault="003F3D88" w:rsidP="003F3D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Customer Service Interactions</w:t>
      </w:r>
    </w:p>
    <w:p w:rsidR="003F3D88" w:rsidRPr="003F3D88" w:rsidRDefault="003F3D88" w:rsidP="003F3D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Online Activity</w:t>
      </w:r>
    </w:p>
    <w:p w:rsidR="003F3D88" w:rsidRPr="003F3D88" w:rsidRDefault="003F3D88" w:rsidP="003F3D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Churn Status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These data sets were selected as they collectively capture customer engagement, satisfaction, and </w:t>
      </w:r>
      <w:proofErr w:type="spellStart"/>
      <w:r w:rsidRPr="003F3D88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 patterns. Transaction data reflects financial activity, customer service interactions highlight potential dissatisfaction, online activity indicates digital engagement, and churn status provides the target variable for prediction.</w:t>
      </w:r>
    </w:p>
    <w:p w:rsidR="003F3D88" w:rsidRPr="003F3D88" w:rsidRDefault="003F3D88" w:rsidP="003F3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Exploratory data analysis was conducted to uncover patterns and relationships that could inform predictive </w:t>
      </w:r>
      <w:proofErr w:type="spellStart"/>
      <w:r w:rsidRPr="003F3D88">
        <w:rPr>
          <w:rFonts w:ascii="Times New Roman" w:eastAsia="Times New Roman" w:hAnsi="Times New Roman" w:cs="Times New Roman"/>
          <w:sz w:val="24"/>
          <w:szCs w:val="24"/>
        </w:rPr>
        <w:t>modelling</w:t>
      </w:r>
      <w:proofErr w:type="spellEnd"/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F3D88">
        <w:rPr>
          <w:rFonts w:ascii="Times New Roman" w:eastAsia="Times New Roman" w:hAnsi="Times New Roman" w:cs="Times New Roman"/>
          <w:sz w:val="24"/>
          <w:szCs w:val="24"/>
        </w:rPr>
        <w:t>Visualisation</w:t>
      </w:r>
      <w:proofErr w:type="spellEnd"/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 and descriptive statistics were used to examine distributions, trends, and anomalies across the data.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Key findings from the analysis include:</w:t>
      </w:r>
    </w:p>
    <w:p w:rsidR="003F3D88" w:rsidRPr="003F3D88" w:rsidRDefault="003F3D88" w:rsidP="003F3D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Customers who churned generally showed lower transaction activity and spending levels.</w:t>
      </w:r>
    </w:p>
    <w:p w:rsidR="003F3D88" w:rsidRPr="003F3D88" w:rsidRDefault="003F3D88" w:rsidP="003F3D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Unresolved customer service interactions and complaints were more prevalent among churned customers.</w:t>
      </w:r>
    </w:p>
    <w:p w:rsidR="003F3D88" w:rsidRPr="003F3D88" w:rsidRDefault="003F3D88" w:rsidP="003F3D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Lower login frequency and longer periods of inactivity were associated with a higher likelihood of churn.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b/>
          <w:bCs/>
          <w:sz w:val="24"/>
          <w:szCs w:val="24"/>
        </w:rPr>
        <w:t>The following figures were used to support these insights:</w:t>
      </w:r>
    </w:p>
    <w:p w:rsid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Figure 1: Distribution of customer transaction activity</w:t>
      </w:r>
    </w:p>
    <w:p w:rsidR="003F3D88" w:rsidRP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535680" cy="2817399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720" cy="28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Figure 2: Customer service interaction outcomes and churn</w:t>
      </w:r>
    </w:p>
    <w:p w:rsidR="003F3D88" w:rsidRP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914055" cy="2702891"/>
            <wp:effectExtent l="0" t="0" r="63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59" cy="27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7F858E" wp14:editId="023368EA">
            <wp:extent cx="2857500" cy="26866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249" cy="2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Figure 3: Login frequency comparison between churned and retained customers</w:t>
      </w:r>
    </w:p>
    <w:p w:rsidR="003F3D88" w:rsidRP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238500" cy="2621917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28" cy="262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Figure 4: Overall churn distribution across customers</w:t>
      </w:r>
    </w:p>
    <w:p w:rsidR="003F3D88" w:rsidRPr="003F3D88" w:rsidRDefault="003F3D88" w:rsidP="003F3D8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98520" cy="2678343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519" cy="26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3D88" w:rsidRPr="003F3D88" w:rsidRDefault="003F3D88" w:rsidP="003F3D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Preparation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Data cleaning and preprocessing steps were applied to ensure the dataset was suitable for machine learning.</w:t>
      </w:r>
    </w:p>
    <w:p w:rsidR="003F3D88" w:rsidRPr="003F3D88" w:rsidRDefault="003F3D88" w:rsidP="003F3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Missing values were handled using median imputation for numerical variables and mode imputation for categorical variables.</w:t>
      </w:r>
    </w:p>
    <w:p w:rsidR="003F3D88" w:rsidRPr="003F3D88" w:rsidRDefault="003F3D88" w:rsidP="003F3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>Outliers in numerical features such as transaction amounts and login frequency were capped to reduce skew while retaining valid customer observations.</w:t>
      </w:r>
    </w:p>
    <w:p w:rsidR="003F3D88" w:rsidRPr="003F3D88" w:rsidRDefault="003F3D88" w:rsidP="003F3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3D88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 features were aggregated at the customer level to better represent engagement and activity.</w:t>
      </w:r>
    </w:p>
    <w:p w:rsidR="003F3D88" w:rsidRPr="003F3D88" w:rsidRDefault="003F3D88" w:rsidP="003F3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Numerical features were </w:t>
      </w:r>
      <w:proofErr w:type="spellStart"/>
      <w:r w:rsidRPr="003F3D88">
        <w:rPr>
          <w:rFonts w:ascii="Times New Roman" w:eastAsia="Times New Roman" w:hAnsi="Times New Roman" w:cs="Times New Roman"/>
          <w:sz w:val="24"/>
          <w:szCs w:val="24"/>
        </w:rPr>
        <w:t>standardised</w:t>
      </w:r>
      <w:proofErr w:type="spellEnd"/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 to ensure consistent scales across variables.</w:t>
      </w:r>
    </w:p>
    <w:p w:rsidR="003F3D88" w:rsidRPr="003F3D88" w:rsidRDefault="003F3D88" w:rsidP="003F3D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Categorical variables were encoded using one-hot encoding to convert them into a numerical format appropriate for </w:t>
      </w:r>
      <w:proofErr w:type="spellStart"/>
      <w:r w:rsidRPr="003F3D88">
        <w:rPr>
          <w:rFonts w:ascii="Times New Roman" w:eastAsia="Times New Roman" w:hAnsi="Times New Roman" w:cs="Times New Roman"/>
          <w:sz w:val="24"/>
          <w:szCs w:val="24"/>
        </w:rPr>
        <w:t>modelling</w:t>
      </w:r>
      <w:proofErr w:type="spellEnd"/>
      <w:r w:rsidRPr="003F3D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3D88" w:rsidRPr="003F3D88" w:rsidRDefault="003F3D88" w:rsidP="003F3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3D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resulting dataset is clean, structured, and ready for use in subsequent churn prediction </w:t>
      </w:r>
      <w:proofErr w:type="spellStart"/>
      <w:r w:rsidRPr="003F3D88">
        <w:rPr>
          <w:rFonts w:ascii="Times New Roman" w:eastAsia="Times New Roman" w:hAnsi="Times New Roman" w:cs="Times New Roman"/>
          <w:sz w:val="24"/>
          <w:szCs w:val="24"/>
        </w:rPr>
        <w:t>modelling</w:t>
      </w:r>
      <w:proofErr w:type="spellEnd"/>
      <w:r w:rsidRPr="003F3D88">
        <w:rPr>
          <w:rFonts w:ascii="Times New Roman" w:eastAsia="Times New Roman" w:hAnsi="Times New Roman" w:cs="Times New Roman"/>
          <w:sz w:val="24"/>
          <w:szCs w:val="24"/>
        </w:rPr>
        <w:t xml:space="preserve"> tasks.</w:t>
      </w:r>
    </w:p>
    <w:p w:rsidR="00D61953" w:rsidRDefault="00D61953"/>
    <w:sectPr w:rsidR="00D61953" w:rsidSect="0064315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B4635"/>
    <w:multiLevelType w:val="multilevel"/>
    <w:tmpl w:val="4438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83DAC"/>
    <w:multiLevelType w:val="multilevel"/>
    <w:tmpl w:val="7E2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76754"/>
    <w:multiLevelType w:val="multilevel"/>
    <w:tmpl w:val="85F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BD6B91"/>
    <w:multiLevelType w:val="multilevel"/>
    <w:tmpl w:val="C9D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E4D85"/>
    <w:multiLevelType w:val="multilevel"/>
    <w:tmpl w:val="6C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CF413D"/>
    <w:multiLevelType w:val="multilevel"/>
    <w:tmpl w:val="F21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154"/>
    <w:rsid w:val="00281A15"/>
    <w:rsid w:val="003F3D88"/>
    <w:rsid w:val="00643154"/>
    <w:rsid w:val="006B43EB"/>
    <w:rsid w:val="00D6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431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31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1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1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31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31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3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315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3D8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D88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431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31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31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1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31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31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3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315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3D88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D88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61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2026-01-25T12:30:00Z</cp:lastPrinted>
  <dcterms:created xsi:type="dcterms:W3CDTF">2026-01-25T12:28:00Z</dcterms:created>
  <dcterms:modified xsi:type="dcterms:W3CDTF">2026-01-25T13:46:00Z</dcterms:modified>
</cp:coreProperties>
</file>