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image/png" PartName="/word/media/document_image_rId4.png"/>
  <Override ContentType="image/png" PartName="/word/media/document_image_rId5.png"/>
  <Override ContentType="image/png" PartName="/word/media/document_image_rId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Pr>
      <w:sectPr>
        <w:cols w:num="1"/>
      </w:sectPr>
    </w:pPr>
    <w:p>
      <w:pPr>
        <w:pStyle w:val="Title"/>
      </w:pPr>
      <w:r>
        <w:t>My Firts Custom Report</w:t>
      </w:r>
    </w:p>
    <w:pPr>
      <w:sectPr>
        <w:type w:val="continuous"/>
        <w:pgSz w:code="9"/>
      </w:sectPr>
    </w:pPr>
    <w:br w:type="page"/>
    <w:p>
      <w:pPr>
        <w:pStyle w:val="Heading1"/>
      </w:pPr>
      <w:r>
        <w:t>People that work</w:t>
      </w:r>
    </w:p>
    <w:pPr>
      <w:sectPr>
        <w:type w:val="continuous"/>
        <w:pgSz w:code="9"/>
      </w:sectPr>
    </w:pPr>
    <w:p>
      <w:pPr>
        <w:sectPr>
          <w:cols w:num="1"/>
        </w:sectPr>
      </w:pPr>
      <w:r>
        <w:rPr>
          <w:rFonts w:ascii="Verdana" w:hAnsi="Verdana"/>
          <w:color w:val="444466"/>
          <w:sz w:val="20"/>
          <w:szCs w:val="20"/>
        </w:rPr>
        <w:t xml:space="preserve">Digital transformation (DX) is fundamentally changing procurement, allowing businesses to transform their decision making, which is enhancing their business outcomes significantly as we enter an increasingly digital economy. Digital transformation is an enterprisewide, board-level, and strategic reality for companies wishing to remain relevant or enhance their leadership position in the digitaleconomy. Digitally transformed businesses have a repeatable set of practices and disciplines used to leverage new business</w:t>
      </w:r>
      <w:r>
        <w:rPr>
          <w:rFonts w:ascii="Calibri" w:hAnsi="Calibri"/>
          <w:b w:val="true"/>
          <w:color w:val="444466"/>
          <w:sz w:val="20"/>
          <w:szCs w:val="20"/>
        </w:rPr>
        <w:t xml:space="preserve"> and markets in pursuit of business performance and growth </w:t>
      </w:r>
      <w:r>
        <w:rPr>
          <w:rFonts w:ascii="Verdana" w:hAnsi="Verdana"/>
          <w:color w:val="444466"/>
          <w:sz w:val="20"/>
          <w:szCs w:val="20"/>
        </w:rPr>
        <w:t xml:space="preserve">Digital transformation (DX) is fundamentally changing procurement, allowing businesses to transform their decision making, which is enhancing their business outcomes significantly as we enter an increasingly digital economy. Digital transformation is an enterprisewide, board-level, and strategic reality for companies wishing to remain relevant or enhance their leadership position in the digitaleconomy. Digitally transformed businesses have a repeatable set of practices and disciplines used to leverage new business</w:t>
      </w:r>
    </w:p>
    <w:tbl>
      <w:tblPr>
        <w:tblStyle w:val="TableGrid"/>
      </w:tblPr>
      <w:tr>
        <w:tc>
          <w:tcPr>
            <w:vMerge w:val="restart"/>
            <w:tcBorders>
              <w:top w:val="single" w:color="DBE5ED" w:sz="10"/>
              <w:left w:val="single" w:color="DBE5ED" w:sz="10"/>
              <w:bottom w:val="single" w:color="DBE5ED" w:sz="10"/>
              <w:right w:val="single" w:color="DBE5ED" w:sz="10"/>
            </w:tcBorders>
            <w:shd w:fill="ccd8e1"/>
            <w:noWrap w:val="true"/>
            <w:tcMar/>
            <w:vAlign w:val="center"/>
          </w:tcPr>
          <w:p>
            <w:pPr>
              <w:jc w:val="center"/>
            </w:pPr>
            <w:r>
              <w:rPr>
                <w:rFonts w:ascii="Calibri" w:hAnsi="Calibri"/>
                <w:b w:val="true"/>
                <w:color w:val="FFFFFF"/>
                <w:sz w:val="18"/>
                <w:szCs w:val="18"/>
              </w:rPr>
              <w:t>COMPANY NAME</w:t>
            </w:r>
          </w:p>
        </w:tc>
        <w:tc>
          <w:tcPr>
            <w:vMerge w:val="restart"/>
            <w:tcBorders>
              <w:top w:val="single" w:color="DBE5ED" w:sz="10"/>
              <w:left w:val="single" w:color="DBE5ED" w:sz="10"/>
              <w:bottom w:val="single" w:color="DBE5ED" w:sz="10"/>
              <w:right w:val="single" w:color="DBE5ED" w:sz="10"/>
            </w:tcBorders>
            <w:shd w:fill="ccd8e1"/>
            <w:noWrap w:val="true"/>
            <w:tcMar/>
            <w:vAlign w:val="center"/>
          </w:tcPr>
          <w:p>
            <w:pPr>
              <w:jc w:val="center"/>
            </w:pPr>
            <w:r>
              <w:rPr>
                <w:rFonts w:ascii="Calibri" w:hAnsi="Calibri"/>
                <w:b w:val="true"/>
                <w:color w:val="FFFFFF"/>
                <w:sz w:val="18"/>
                <w:szCs w:val="18"/>
              </w:rPr>
              <w:t/>
            </w:r>
          </w:p>
        </w:tc>
        <w:tc>
          <w:tcPr>
            <w:vMerge w:val="restart"/>
            <w:tcBorders>
              <w:top w:val="single" w:color="DBE5ED" w:sz="10"/>
              <w:left w:val="single" w:color="DBE5ED" w:sz="10"/>
              <w:bottom w:val="single" w:color="DBE5ED" w:sz="10"/>
              <w:right w:val="single" w:color="DBE5ED" w:sz="10"/>
            </w:tcBorders>
            <w:shd w:fill="ccd8e1"/>
            <w:noWrap w:val="true"/>
            <w:tcMar/>
            <w:vAlign w:val="center"/>
          </w:tcPr>
          <w:p>
            <w:pPr>
              <w:jc w:val="center"/>
            </w:pPr>
            <w:r>
              <w:rPr>
                <w:rFonts w:ascii="Calibri" w:hAnsi="Calibri"/>
                <w:b w:val="true"/>
                <w:color w:val="FFFFFF"/>
                <w:sz w:val="18"/>
                <w:szCs w:val="18"/>
              </w:rPr>
              <w:t>DESCRIPTION</w:t>
            </w:r>
          </w:p>
        </w:tc>
        <w:tc>
          <w:tcPr>
            <w:vMerge w:val="restart"/>
            <w:tcBorders>
              <w:top w:val="single" w:color="DBE5ED" w:sz="10"/>
              <w:left w:val="single" w:color="DBE5ED" w:sz="10"/>
              <w:bottom w:val="single" w:color="DBE5ED" w:sz="10"/>
              <w:right w:val="single" w:color="DBE5ED" w:sz="10"/>
            </w:tcBorders>
            <w:shd w:fill="ccd8e1"/>
            <w:noWrap w:val="true"/>
            <w:tcMar/>
            <w:vAlign w:val="center"/>
          </w:tcPr>
          <w:p>
            <w:pPr>
              <w:jc w:val="center"/>
            </w:pPr>
            <w:r>
              <w:rPr>
                <w:rFonts w:ascii="Calibri" w:hAnsi="Calibri"/>
                <w:b w:val="true"/>
                <w:color w:val="FFFFFF"/>
                <w:sz w:val="18"/>
                <w:szCs w:val="18"/>
              </w:rPr>
              <w:t>LINK</w:t>
            </w:r>
          </w:p>
        </w:tc>
      </w:tr>
      <w:tr>
        <w:tc>
          <w:tcPr>
            <w:vMerge w:val="restart"/>
            <w:tcBorders>
              <w:top w:val="single" w:color="DBE5ED" w:sz="10"/>
              <w:left w:val="single" w:color="DBE5ED" w:sz="10"/>
              <w:bottom w:val="single" w:color="DBE5ED" w:sz="10"/>
              <w:right w:val="single" w:color="DBE5ED" w:sz="10"/>
            </w:tcBorders>
            <w:shd w:fill="e3f1fa"/>
            <w:noWrap w:val="true"/>
            <w:tcMar/>
            <w:vAlign w:val="top"/>
          </w:tcPr>
          <w:p>
            <w:pPr>
              <w:jc w:val="left"/>
            </w:pPr>
            <w:r>
              <w:rPr>
                <w:rFonts w:ascii="Calibri" w:hAnsi="Calibri"/>
                <w:color w:val="000000"/>
                <w:sz w:val="16"/>
                <w:szCs w:val="16"/>
              </w:rPr>
              <w:t>Andrea Radice</w:t>
            </w:r>
          </w:p>
        </w:tc>
        <w:tc>
          <w:tcPr>
            <w:vMerge w:val="restart"/>
            <w:tcBorders>
              <w:top w:val="single" w:color="DBE5ED" w:sz="10"/>
              <w:left w:val="single" w:color="DBE5ED" w:sz="10"/>
              <w:bottom w:val="single" w:color="DBE5ED" w:sz="10"/>
              <w:right w:val="single" w:color="DBE5ED" w:sz="10"/>
            </w:tcBorders>
            <w:shd w:fill="e3f1fa"/>
            <w:tcMar/>
            <w:vAlign w:val="top"/>
          </w:tcPr>
          <w:p>
            <w:pPr>
              <w:jc w:val="left"/>
            </w:pPr>
            <w:r>
              <w:drawing>
                <wp:inline distT="0" distB="0" distL="0" distR="0">
                  <wp:extent cx="317500" cy="317500"/>
                  <wp:effectExtent l="0" t="0" r="0" b="0"/>
                  <wp:docPr id="1" name="caption" descr="caption"/>
                  <wp:cNvGraphicFramePr>
                    <a:graphicFrameLocks noChangeAspect="true"/>
                  </wp:cNvGraphicFramePr>
                  <a:graphic>
                    <a:graphicData uri="http://schemas.openxmlformats.org/drawingml/2006/picture">
                      <pic:pic>
                        <pic:nvPicPr>
                          <pic:cNvPr id="1" name="caption"/>
                          <pic:cNvPicPr/>
                        </pic:nvPicPr>
                        <pic:blipFill>
                          <a:blip r:embed="rId3"/>
                          <a:stretch>
                            <a:fillRect/>
                          </a:stretch>
                        </pic:blipFill>
                        <pic:spPr>
                          <a:xfrm>
                            <a:off x="0" y="0"/>
                            <a:ext cx="317500" cy="317500"/>
                          </a:xfrm>
                          <a:prstGeom prst="rect">
                            <a:avLst/>
                          </a:prstGeom>
                        </pic:spPr>
                      </pic:pic>
                    </a:graphicData>
                  </a:graphic>
                </wp:inline>
              </w:drawing>
            </w:r>
          </w:p>
        </w:tc>
        <w:tc>
          <w:tcPr>
            <w:vMerge w:val="restart"/>
            <w:tcBorders>
              <w:top w:val="single" w:color="DBE5ED" w:sz="10"/>
              <w:left w:val="single" w:color="DBE5ED" w:sz="10"/>
              <w:bottom w:val="single" w:color="DBE5ED" w:sz="10"/>
              <w:right w:val="single" w:color="DBE5ED" w:sz="10"/>
            </w:tcBorders>
            <w:shd w:fill="e3f1fa"/>
            <w:noWrap w:val="true"/>
            <w:tcMar/>
            <w:vAlign w:val="top"/>
          </w:tcPr>
          <w:p>
            <w:pPr>
              <w:jc w:val="left"/>
            </w:pPr>
            <w:r>
              <w:rPr>
                <w:rFonts w:ascii="Calibri" w:hAnsi="Calibri"/>
                <w:color w:val="000000"/>
                <w:sz w:val="16"/>
                <w:szCs w:val="16"/>
              </w:rPr>
              <w:t>The best</w:t>
            </w:r>
          </w:p>
        </w:tc>
        <w:tc>
          <w:tcPr>
            <w:vMerge w:val="restart"/>
            <w:tcBorders>
              <w:top w:val="single" w:color="DBE5ED" w:sz="10"/>
              <w:left w:val="single" w:color="DBE5ED" w:sz="10"/>
              <w:bottom w:val="single" w:color="DBE5ED" w:sz="10"/>
              <w:right w:val="single" w:color="DBE5ED" w:sz="10"/>
            </w:tcBorders>
            <w:shd w:fill="e3f1fa"/>
            <w:tcMar/>
            <w:vAlign w:val="top"/>
          </w:tcPr>
          <w:p>
            <w:pPr>
              <w:jc w:val="left"/>
            </w:pPr>
            <w:hyperlink r:id="rId6">
              <w:r>
                <w:rPr>
                  <w:rStyle w:val="Hyperlink"/>
                </w:rPr>
                <w:t>My webSite</w:t>
              </w:r>
            </w:hyperlink>
          </w:p>
        </w:tc>
      </w:tr>
      <w:tr>
        <w:tc>
          <w:tcPr>
            <w:vMerge w:val="restart"/>
            <w:tcBorders>
              <w:top w:val="single" w:color="DBE5ED" w:sz="10"/>
              <w:left w:val="single" w:color="DBE5ED" w:sz="10"/>
              <w:bottom w:val="single" w:color="DBE5ED" w:sz="10"/>
              <w:right w:val="single" w:color="DBE5ED" w:sz="10"/>
            </w:tcBorders>
            <w:shd w:fill="FFFFFF"/>
            <w:noWrap w:val="true"/>
            <w:tcMar/>
            <w:vAlign w:val="top"/>
          </w:tcPr>
          <w:p>
            <w:pPr>
              <w:jc w:val="left"/>
            </w:pPr>
            <w:r>
              <w:rPr>
                <w:rFonts w:ascii="Calibri" w:hAnsi="Calibri"/>
                <w:color w:val="000000"/>
                <w:sz w:val="16"/>
                <w:szCs w:val="16"/>
              </w:rPr>
              <w:t>Micky Mouse</w:t>
            </w:r>
          </w:p>
        </w:tc>
        <w:tc>
          <w:tcPr>
            <w:vMerge w:val="restart"/>
            <w:tcBorders>
              <w:top w:val="single" w:color="DBE5ED" w:sz="10"/>
              <w:left w:val="single" w:color="DBE5ED" w:sz="10"/>
              <w:bottom w:val="single" w:color="DBE5ED" w:sz="10"/>
              <w:right w:val="single" w:color="DBE5ED" w:sz="10"/>
            </w:tcBorders>
            <w:shd w:fill="FFFFFF"/>
            <w:tcMar/>
            <w:vAlign w:val="top"/>
          </w:tcPr>
          <w:p>
            <w:pPr>
              <w:jc w:val="left"/>
            </w:pPr>
            <w:r>
              <w:drawing>
                <wp:inline distT="0" distB="0" distL="0" distR="0">
                  <wp:extent cx="317500" cy="317500"/>
                  <wp:effectExtent l="0" t="0" r="0" b="0"/>
                  <wp:docPr id="1" name="caption" descr="caption"/>
                  <wp:cNvGraphicFramePr>
                    <a:graphicFrameLocks noChangeAspect="true"/>
                  </wp:cNvGraphicFramePr>
                  <a:graphic>
                    <a:graphicData uri="http://schemas.openxmlformats.org/drawingml/2006/picture">
                      <pic:pic>
                        <pic:nvPicPr>
                          <pic:cNvPr id="1" name="caption"/>
                          <pic:cNvPicPr/>
                        </pic:nvPicPr>
                        <pic:blipFill>
                          <a:blip r:embed="rId4"/>
                          <a:stretch>
                            <a:fillRect/>
                          </a:stretch>
                        </pic:blipFill>
                        <pic:spPr>
                          <a:xfrm>
                            <a:off x="0" y="0"/>
                            <a:ext cx="317500" cy="317500"/>
                          </a:xfrm>
                          <a:prstGeom prst="rect">
                            <a:avLst/>
                          </a:prstGeom>
                        </pic:spPr>
                      </pic:pic>
                    </a:graphicData>
                  </a:graphic>
                </wp:inline>
              </w:drawing>
            </w:r>
          </w:p>
        </w:tc>
        <w:tc>
          <w:tcPr>
            <w:vMerge w:val="restart"/>
            <w:tcBorders>
              <w:top w:val="single" w:color="DBE5ED" w:sz="10"/>
              <w:left w:val="single" w:color="DBE5ED" w:sz="10"/>
              <w:bottom w:val="single" w:color="DBE5ED" w:sz="10"/>
              <w:right w:val="single" w:color="DBE5ED" w:sz="10"/>
            </w:tcBorders>
            <w:shd w:fill="FFFFFF"/>
            <w:noWrap w:val="true"/>
            <w:tcMar/>
            <w:vAlign w:val="top"/>
          </w:tcPr>
          <w:p>
            <w:pPr>
              <w:jc w:val="left"/>
            </w:pPr>
            <w:r>
              <w:rPr>
                <w:rFonts w:ascii="Calibri" w:hAnsi="Calibri"/>
                <w:color w:val="000000"/>
                <w:sz w:val="16"/>
                <w:szCs w:val="16"/>
              </w:rPr>
              <w:t>SVP Research &amp; Development at Disney</w:t>
            </w:r>
          </w:p>
        </w:tc>
        <w:tc>
          <w:tcPr>
            <w:vMerge w:val="restart"/>
            <w:tcBorders>
              <w:top w:val="single" w:color="DBE5ED" w:sz="10"/>
              <w:left w:val="single" w:color="DBE5ED" w:sz="10"/>
              <w:bottom w:val="single" w:color="DBE5ED" w:sz="10"/>
              <w:right w:val="single" w:color="DBE5ED" w:sz="10"/>
            </w:tcBorders>
            <w:shd w:fill="FFFFFF"/>
            <w:tcMar/>
            <w:vAlign w:val="top"/>
          </w:tcPr>
          <w:p>
            <w:pPr>
              <w:jc w:val="left"/>
            </w:pPr>
            <w:hyperlink r:id="rId7">
              <w:r>
                <w:rPr>
                  <w:rStyle w:val="Hyperlink"/>
                </w:rPr>
                <w:t/>
              </w:r>
            </w:hyperlink>
          </w:p>
        </w:tc>
      </w:tr>
      <w:tr>
        <w:tc>
          <w:tcPr>
            <w:vMerge w:val="restart"/>
            <w:tcBorders>
              <w:top w:val="single" w:color="DBE5ED" w:sz="10"/>
              <w:left w:val="single" w:color="DBE5ED" w:sz="10"/>
              <w:bottom w:val="single" w:color="DBE5ED" w:sz="10"/>
              <w:right w:val="single" w:color="DBE5ED" w:sz="10"/>
            </w:tcBorders>
            <w:shd w:fill="e3f1fa"/>
            <w:noWrap w:val="true"/>
            <w:tcMar/>
            <w:vAlign w:val="top"/>
          </w:tcPr>
          <w:p>
            <w:pPr>
              <w:jc w:val="left"/>
            </w:pPr>
            <w:r>
              <w:rPr>
                <w:rFonts w:ascii="Calibri" w:hAnsi="Calibri"/>
                <w:color w:val="000000"/>
                <w:sz w:val="16"/>
                <w:szCs w:val="16"/>
              </w:rPr>
              <w:t>Donal Duck</w:t>
            </w:r>
          </w:p>
        </w:tc>
        <w:tc>
          <w:tcPr>
            <w:vMerge w:val="restart"/>
            <w:tcBorders>
              <w:top w:val="single" w:color="DBE5ED" w:sz="10"/>
              <w:left w:val="single" w:color="DBE5ED" w:sz="10"/>
              <w:bottom w:val="single" w:color="DBE5ED" w:sz="10"/>
              <w:right w:val="single" w:color="DBE5ED" w:sz="10"/>
            </w:tcBorders>
            <w:shd w:fill="e3f1fa"/>
            <w:tcMar/>
            <w:vAlign w:val="top"/>
          </w:tcPr>
          <w:p>
            <w:pPr>
              <w:jc w:val="left"/>
            </w:pPr>
            <w:r>
              <w:drawing>
                <wp:inline distT="0" distB="0" distL="0" distR="0">
                  <wp:extent cx="317500" cy="317500"/>
                  <wp:effectExtent l="0" t="0" r="0" b="0"/>
                  <wp:docPr id="1" name="caption" descr="caption"/>
                  <wp:cNvGraphicFramePr>
                    <a:graphicFrameLocks noChangeAspect="true"/>
                  </wp:cNvGraphicFramePr>
                  <a:graphic>
                    <a:graphicData uri="http://schemas.openxmlformats.org/drawingml/2006/picture">
                      <pic:pic>
                        <pic:nvPicPr>
                          <pic:cNvPr id="1" name="caption"/>
                          <pic:cNvPicPr/>
                        </pic:nvPicPr>
                        <pic:blipFill>
                          <a:blip r:embed="rId5"/>
                          <a:stretch>
                            <a:fillRect/>
                          </a:stretch>
                        </pic:blipFill>
                        <pic:spPr>
                          <a:xfrm>
                            <a:off x="0" y="0"/>
                            <a:ext cx="317500" cy="317500"/>
                          </a:xfrm>
                          <a:prstGeom prst="rect">
                            <a:avLst/>
                          </a:prstGeom>
                        </pic:spPr>
                      </pic:pic>
                    </a:graphicData>
                  </a:graphic>
                </wp:inline>
              </w:drawing>
            </w:r>
          </w:p>
        </w:tc>
        <w:tc>
          <w:tcPr>
            <w:vMerge w:val="restart"/>
            <w:tcBorders>
              <w:top w:val="single" w:color="DBE5ED" w:sz="10"/>
              <w:left w:val="single" w:color="DBE5ED" w:sz="10"/>
              <w:bottom w:val="single" w:color="DBE5ED" w:sz="10"/>
              <w:right w:val="single" w:color="DBE5ED" w:sz="10"/>
            </w:tcBorders>
            <w:shd w:fill="e3f1fa"/>
            <w:noWrap w:val="true"/>
            <w:tcMar/>
            <w:vAlign w:val="top"/>
          </w:tcPr>
          <w:p>
            <w:pPr>
              <w:jc w:val="left"/>
            </w:pPr>
            <w:r>
              <w:rPr>
                <w:rFonts w:ascii="Calibri" w:hAnsi="Calibri"/>
                <w:color w:val="000000"/>
                <w:sz w:val="16"/>
                <w:szCs w:val="16"/>
              </w:rPr>
              <w:t>Funny Duck</w:t>
            </w:r>
          </w:p>
        </w:tc>
        <w:tc>
          <w:tcPr>
            <w:vMerge w:val="restart"/>
            <w:tcBorders>
              <w:top w:val="single" w:color="DBE5ED" w:sz="10"/>
              <w:left w:val="single" w:color="DBE5ED" w:sz="10"/>
              <w:bottom w:val="single" w:color="DBE5ED" w:sz="10"/>
              <w:right w:val="single" w:color="DBE5ED" w:sz="10"/>
            </w:tcBorders>
            <w:shd w:fill="e3f1fa"/>
            <w:noWrap w:val="true"/>
            <w:tcMar/>
            <w:vAlign w:val="top"/>
          </w:tcPr>
          <w:p>
            <w:pPr>
              <w:jc w:val="left"/>
            </w:pPr>
            <w:r>
              <w:rPr>
                <w:rFonts w:ascii="Calibri" w:hAnsi="Calibri"/>
                <w:color w:val="000000"/>
                <w:sz w:val="16"/>
                <w:szCs w:val="16"/>
              </w:rPr>
              <w:t/>
            </w:r>
          </w:p>
        </w:tc>
      </w:tr>
      <w:pPr>
        <w:sectPr>
          <w:cols w:num="1"/>
        </w:sectPr>
      </w:pPr>
    </w:tbl>
    <w:pPr>
      <w:sectPr>
        <w:type w:val="continuous"/>
        <w:pgSz w:code="9"/>
      </w:sectPr>
    </w:pPr>
    <w:br w:type="page"/>
    <w:p>
      <w:pPr>
        <w:pStyle w:val="Heading1"/>
      </w:pPr>
      <w:r>
        <w:t>World</w:t>
      </w:r>
    </w:p>
    <w:pPr>
      <w:sectPr>
        <w:type w:val="continuous"/>
        <w:pgSz w:code="9"/>
      </w:sectPr>
    </w:pPr>
    <w:p>
      <w:pPr>
        <w:sectPr>
          <w:cols w:num="2"/>
        </w:sectPr>
      </w:pPr>
      <w:r>
        <w:rPr>
          <w:rFonts w:ascii="Calibri" w:hAnsi="Calibri"/>
          <w:color w:val="444466"/>
          <w:sz w:val="20"/>
          <w:szCs w:val="20"/>
        </w:rPr>
        <w:t xml:space="preserve">The world is the planet Earth and all life upon it, including human civilization. In a philosophical context, the "world" is the whole of the physical Universe, or an ontological world (the "world" of an individual). In a theological context, the world is the material or the profane sphere, as opposed to the celestial, spiritual, transcendent or sacred. The "end of the world" refers to scenarios of the final end of human history, often in religious contexts.History of the world is commonly understood as spanning the major geopolitical developments of about five millennia, from the first civilizations to the present. In terms such as world religion, world language, world government, and world war, world suggests international or intercontinental scope without necessarily implying participation of the entire world.</w:t>
      </w:r>
    </w:p>
    <w:pPr>
      <w:sectPr>
        <w:type w:val="continuous"/>
        <w:pgSz w:code="9"/>
      </w:sectPr>
    </w:pPr>
    <w:p>
      <w:pPr>
        <w:sectPr>
          <w:cols w:num="1"/>
        </w:sectPr>
      </w:pPr>
      <w:r>
        <w:rPr>
          <w:rFonts w:ascii="Calibri" w:hAnsi="Calibri"/>
          <w:b w:val="true"/>
          <w:color w:val="444466"/>
          <w:sz w:val="20"/>
          <w:szCs w:val="20"/>
        </w:rPr>
        <w:t xml:space="preserve">The Palestinian health ministry says at least five people have been killed and 350 wounded, many of them by Israeli gunfire. The Israeli military reported "rioting" at six places and said it was "firing towards main instigators". Palestinians have pitched five camps near the border for the protest, dubbed the Great March of Return.</w:t>
      </w:r>
    </w:p>
    <w:pPr>
      <w:sectPr>
        <w:type w:val="continuous"/>
        <w:pgSz w:code="9"/>
      </w:sectPr>
    </w:pPr>
    <w:p>
      <w:r>
        <w:drawing>
          <wp:inline distT="0" distB="0" distL="0" distR="0">
            <wp:extent cx="6350000" cy="6350000"/>
            <wp:effectExtent l="0" t="0" r="0" b="0"/>
            <wp:docPr id="1" name="caption" descr="caption"/>
            <wp:cNvGraphicFramePr>
              <a:graphicFrameLocks noChangeAspect="true"/>
            </wp:cNvGraphicFramePr>
            <a:graphic>
              <a:graphicData uri="http://schemas.openxmlformats.org/drawingml/2006/picture">
                <pic:pic>
                  <pic:nvPicPr>
                    <pic:cNvPr id="1" name="caption"/>
                    <pic:cNvPicPr/>
                  </pic:nvPicPr>
                  <pic:blipFill>
                    <a:blip r:embed="rId8"/>
                    <a:stretch>
                      <a:fillRect/>
                    </a:stretch>
                  </pic:blipFill>
                  <pic:spPr>
                    <a:xfrm>
                      <a:off x="0" y="0"/>
                      <a:ext cx="6350000" cy="6350000"/>
                    </a:xfrm>
                    <a:prstGeom prst="rect">
                      <a:avLst/>
                    </a:prstGeom>
                  </pic:spPr>
                </pic:pic>
              </a:graphicData>
            </a:graphic>
          </wp:inline>
        </w:drawing>
      </w:r>
    </w:p>
    <w:br w:type="page"/>
    <w:p>
      <w:pPr>
        <w:pStyle w:val="Heading2"/>
      </w:pPr>
      <w:r>
        <w:t>Europe</w:t>
      </w:r>
    </w:p>
    <w:pPr>
      <w:sectPr>
        <w:type w:val="continuous"/>
        <w:pgSz w:code="9"/>
      </w:sectPr>
    </w:pPr>
    <w:p>
      <w:r>
        <w:drawing>
          <wp:inline distT="0" distB="0" distL="0" distR="0">
            <wp:extent cx="6350000" cy="6350000"/>
            <wp:effectExtent l="0" t="0" r="0" b="0"/>
            <wp:docPr id="1" name="caption" descr="caption"/>
            <wp:cNvGraphicFramePr>
              <a:graphicFrameLocks noChangeAspect="true"/>
            </wp:cNvGraphicFramePr>
            <a:graphic>
              <a:graphicData uri="http://schemas.openxmlformats.org/drawingml/2006/picture">
                <pic:pic>
                  <pic:nvPicPr>
                    <pic:cNvPr id="1" name="caption"/>
                    <pic:cNvPicPr/>
                  </pic:nvPicPr>
                  <pic:blipFill>
                    <a:blip r:embed="rId9"/>
                    <a:stretch>
                      <a:fillRect/>
                    </a:stretch>
                  </pic:blipFill>
                  <pic:spPr>
                    <a:xfrm>
                      <a:off x="0" y="0"/>
                      <a:ext cx="6350000" cy="6350000"/>
                    </a:xfrm>
                    <a:prstGeom prst="rect">
                      <a:avLst/>
                    </a:prstGeom>
                  </pic:spPr>
                </pic:pic>
              </a:graphicData>
            </a:graphic>
          </wp:inline>
        </w:drawing>
      </w:r>
    </w:p>
    <w:pPr>
      <w:sectPr>
        <w:type w:val="continuous"/>
        <w:pgSz w:code="9"/>
      </w:sectPr>
    </w:pPr>
    <w:p>
      <w:r>
        <w:t>Europe is a Swedish rock band formed in Upplands Väsby in 1979,[5] by vocalist Joey Tempest, guitarist John Norum, bass guitarist Peter Olsson, and drummer Tony Reno. They got a major breakthrough in Sweden in 1982 by winning the televised competition "Rock-SM" (Swedish Rock Championships) It was the first time this competition was held, and Europe became a larger success than the competition itself. Since their formation Europe has released eleven studio albums, three live albums, three compilations and nineteen music videos.</w:t>
      </w:r>
    </w:p>
    <w:p>
      <w:pPr>
        <w:pStyle w:val="Heading2"/>
      </w:pPr>
      <w:r>
        <w:t>America</w:t>
      </w:r>
    </w:p>
    <w:p>
      <w:r>
        <w:drawing>
          <wp:inline distT="0" distB="0" distL="0" distR="0">
            <wp:extent cx="6350000" cy="48260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6350000" cy="4826000"/>
                    </a:xfrm>
                    <a:prstGeom prst="rect">
                      <a:avLst/>
                    </a:prstGeom>
                  </pic:spPr>
                </pic:pic>
              </a:graphicData>
            </a:graphic>
          </wp:inline>
        </w:drawing>
      </w:r>
    </w:p>
    <w:tbl>
      <w:tblPr>
        <w:tblStyle w:val="TableGrid"/>
      </w:tblP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NUM</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STYLE</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COLOR</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0</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0fdc5e</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Courier new</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7019cc</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84af2b</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3</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edac08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4</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9b9caf</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5</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39ce42</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6</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d66946</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7</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820fc4</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8</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430635</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9</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Courier new</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379dcc</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10</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3755da</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11</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d272be</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12</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80a028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13</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7ae302</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14</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f3d511</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15</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Courier new</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9a525d</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16</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efbbfe</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17</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00e31f</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18</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Courier new</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e8d271</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19</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e71696</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20</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Courier new</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124539</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21</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629efb</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22</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16ca88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23</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ba3228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24</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c3c49c</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25</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b10d19</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26</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6d7fe8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27</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Calibri</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4bf808</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28</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Tahoma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bfbb8b</w:t>
            </w:r>
          </w:p>
        </w:tc>
      </w:tr>
      <w:tr>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29</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Verdana</w:t>
            </w:r>
          </w:p>
        </w:tc>
        <w:tc>
          <w:tcPr>
            <w:vMerge w:val="restart"/>
            <w:tcBorders>
              <w:top w:val="single" w:color="FFFFFF" w:sz="10"/>
              <w:left w:val="single" w:color="FFFFFF" w:sz="10"/>
              <w:bottom w:val="single" w:color="FFFFFF" w:sz="10"/>
              <w:right w:val="single" w:color="FFFFFF" w:sz="10"/>
            </w:tcBorders>
            <w:shd w:fill="FFFFFF"/>
            <w:noWrap w:val="true"/>
            <w:tcMar/>
            <w:vAlign w:val="center"/>
          </w:tcPr>
          <w:p>
            <w:pPr>
              <w:jc w:val="center"/>
            </w:pPr>
            <w:r>
              <w:rPr>
                <w:rFonts w:ascii="Calibri" w:hAnsi="Calibri"/>
                <w:color w:val="000000"/>
                <w:sz w:val="18"/>
                <w:szCs w:val="18"/>
              </w:rPr>
              <w:t>5aa8b2</w:t>
            </w:r>
          </w:p>
        </w:tc>
      </w:tr>
    </w:tbl>
    <w:sectPr>
      <w:pgSz w:w="11907" w:h="16839" w:code="9"/>
      <w:pgMar w:top="1440" w:right="1440" w:bottom="1440" w:left="1440"/>
    </w:sectPr>
  </w:body>
</w:document>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Verdana" w:hAnsi="Verdana"/>
      <w:color w:val="444466"/>
      <w:sz w:val="20"/>
      <w:szCs w:val="20"/>
    </w:rPr>
  </w:style>
  <w:style w:type="paragraph" w:styleId="Heading1">
    <w:name w:val="heading 1"/>
    <w:basedOn w:val="Normal"/>
    <w:next w:val="Normal"/>
    <w:link w:val="Heading1Char"/>
    <w:uiPriority w:val="9"/>
    <w:qFormat/>
    <w:rsid w:val="00841CD9"/>
    <w:pPr>
      <w:keepNext/>
      <w:keepLines/>
      <w:spacing w:before="480"/>
      <w:outlineLvl w:val="0"/>
    </w:pPr>
    <w:rPr>
      <w:rFonts w:ascii="Courier New" w:hAnsi="Courier New" w:eastAsiaTheme="majorEastAsia" w:cstheme="majorBidi"/>
      <w:b w:val="true"/>
      <w:bCs/>
      <w:i w:val="true"/>
      <w:color w:val="3ddcea"/>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Courier New" w:hAnsi="Courier New" w:eastAsiaTheme="majorEastAsia" w:cstheme="majorBidi"/>
      <w:b w:val="true"/>
      <w:color w:val="3ddcea"/>
      <w:spacing w:val="5"/>
      <w:kern w:val="28"/>
      <w:sz w:val="40"/>
      <w:szCs w:val="40"/>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ode="External" Target="http://radic.altervista.org" Type="http://schemas.openxmlformats.org/officeDocument/2006/relationships/hyperlink" Id="rId6"/>
    <Relationship TargetMode="External" Target="http://www.google.it" Type="http://schemas.openxmlformats.org/officeDocument/2006/relationships/hyperlink"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jpeg" Type="http://schemas.openxmlformats.org/officeDocument/2006/relationships/image"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