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before="80" w:line="273.6" w:lineRule="auto"/>
        <w:ind w:left="720" w:firstLine="0"/>
        <w:jc w:val="center"/>
        <w:rPr/>
      </w:pPr>
      <w:bookmarkStart w:colFirst="0" w:colLast="0" w:name="_5t88ki8pqt5l" w:id="0"/>
      <w:bookmarkEnd w:id="0"/>
      <w:r w:rsidDel="00000000" w:rsidR="00000000" w:rsidRPr="00000000">
        <w:rPr>
          <w:rtl w:val="0"/>
        </w:rPr>
        <w:t xml:space="preserve">Deploy / Delete Teamcity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80" w:line="360" w:lineRule="auto"/>
        <w:ind w:left="540" w:hanging="450"/>
        <w:rPr>
          <w:b w:val="1"/>
          <w:color w:val="4875d5"/>
          <w:sz w:val="34"/>
          <w:szCs w:val="34"/>
        </w:rPr>
      </w:pPr>
      <w:bookmarkStart w:colFirst="0" w:colLast="0" w:name="_ocmkwp3xjh0c" w:id="1"/>
      <w:bookmarkEnd w:id="1"/>
      <w:r w:rsidDel="00000000" w:rsidR="00000000" w:rsidRPr="00000000">
        <w:rPr>
          <w:b w:val="1"/>
          <w:color w:val="4875d5"/>
          <w:sz w:val="34"/>
          <w:szCs w:val="34"/>
          <w:rtl w:val="0"/>
        </w:rPr>
        <w:t xml:space="preserve">Install and Deploy Teamcity docker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900" w:hanging="360"/>
        <w:rPr>
          <w:color w:val="333333"/>
          <w:sz w:val="24"/>
          <w:szCs w:val="24"/>
          <w:u w:val="none"/>
          <w:shd w:fill="fefefe" w:val="clear"/>
        </w:rPr>
      </w:pPr>
      <w:r w:rsidDel="00000000" w:rsidR="00000000" w:rsidRPr="00000000">
        <w:rPr>
          <w:color w:val="333333"/>
          <w:sz w:val="24"/>
          <w:szCs w:val="24"/>
          <w:shd w:fill="fefefe" w:val="clear"/>
          <w:rtl w:val="0"/>
        </w:rPr>
        <w:t xml:space="preserve">Click “Deploy” button on “ln02-9ci-com: application” workload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9428" cy="3424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428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990" w:hanging="360"/>
        <w:rPr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color w:val="333333"/>
          <w:sz w:val="24"/>
          <w:szCs w:val="24"/>
          <w:shd w:fill="fefefe" w:val="clear"/>
          <w:rtl w:val="0"/>
        </w:rPr>
        <w:t xml:space="preserve">Enter field values as following as: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color w:val="333333"/>
          <w:sz w:val="24"/>
          <w:szCs w:val="24"/>
          <w:shd w:fill="fefefe" w:val="clear"/>
        </w:rPr>
        <w:drawing>
          <wp:inline distB="114300" distT="114300" distL="114300" distR="114300">
            <wp:extent cx="4953000" cy="33099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990" w:hanging="360"/>
        <w:rPr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color w:val="333333"/>
          <w:sz w:val="24"/>
          <w:szCs w:val="24"/>
          <w:shd w:fill="fefefe" w:val="clear"/>
          <w:rtl w:val="0"/>
        </w:rPr>
        <w:t xml:space="preserve">Then you can see the deployed Teamcity docker on workloads page: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80" w:line="360" w:lineRule="auto"/>
        <w:ind w:left="540" w:hanging="450"/>
        <w:rPr>
          <w:b w:val="1"/>
          <w:color w:val="4875d5"/>
          <w:sz w:val="34"/>
          <w:szCs w:val="34"/>
        </w:rPr>
      </w:pPr>
      <w:bookmarkStart w:colFirst="0" w:colLast="0" w:name="_vw9gsss4y2a5" w:id="2"/>
      <w:bookmarkEnd w:id="2"/>
      <w:r w:rsidDel="00000000" w:rsidR="00000000" w:rsidRPr="00000000">
        <w:rPr>
          <w:b w:val="1"/>
          <w:color w:val="4875d5"/>
          <w:sz w:val="34"/>
          <w:szCs w:val="34"/>
          <w:rtl w:val="0"/>
        </w:rPr>
        <w:t xml:space="preserve">Delete Teamcity docker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990" w:hanging="360"/>
        <w:rPr>
          <w:u w:val="none"/>
        </w:rPr>
      </w:pPr>
      <w:r w:rsidDel="00000000" w:rsidR="00000000" w:rsidRPr="00000000">
        <w:rPr>
          <w:rtl w:val="0"/>
        </w:rPr>
        <w:t xml:space="preserve">On workloads page, select Teamcity docker and click “Delete” submenu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80394" cy="36718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394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Click “Delete” button on confirm dialog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91365" cy="1576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365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Then the Teamcity docker will be deleted from workloads.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