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36"/>
          <w:szCs w:val="36"/>
          <w:rtl w:val="0"/>
        </w:rPr>
        <w:t xml:space="preserve">RÁMCOVÁ SMLOUVA O SPOLUPRÁCI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64748b"/>
          <w:sz w:val="20"/>
          <w:szCs w:val="20"/>
          <w:rtl w:val="0"/>
        </w:rPr>
        <w:t xml:space="preserve">Všeobecný smluvní základ dlouhodobého partnerského vztahu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1 – SMLUVNÍ STRANY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1.1 Poskytovatel: </w:t>
      </w:r>
      <w:r w:rsidDel="00000000" w:rsidR="00000000" w:rsidRPr="00000000">
        <w:rPr>
          <w:rFonts w:ascii="Inter" w:cs="Inter" w:eastAsia="Inter" w:hAnsi="Inter"/>
          <w:rtl w:val="0"/>
        </w:rPr>
        <w:t xml:space="preserve">Radim Věntus, fyzická osoba podnikající pod značkou CONIS, IČO: 62288474, se sídlem Stratilova 2, 746 01 Opava, Česká republika (dále jen „CONIS“ nebo „Poskytovatel“).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1.2 Partner: </w:t>
      </w:r>
      <w:r w:rsidDel="00000000" w:rsidR="00000000" w:rsidRPr="00000000">
        <w:rPr>
          <w:rFonts w:ascii="Inter" w:cs="Inter" w:eastAsia="Inter" w:hAnsi="Inter"/>
          <w:rtl w:val="0"/>
        </w:rPr>
        <w:t xml:space="preserve">Fyzická nebo právnická osoba specifikovaná v Elektronické objednávce pilotního nasazení (dále jen „Partner“).</w:t>
      </w:r>
    </w:p>
    <w:p w:rsidR="00000000" w:rsidDel="00000000" w:rsidP="00000000" w:rsidRDefault="00000000" w:rsidRPr="00000000" w14:paraId="00000005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2 – ÚČEL SMLOUVY A SMLUVNÍ ARCHITEKTURA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2.1 Účelem této Rámcové smlouvy je upravit podmínky dlouhodobé spolupráce smluvních stran při využívání cloudové platformy CONIS pro prezentaci nemovitostí Partnera a zvýšení konverzní účinnosti jeho webu.</w:t>
        <w:br w:type="textWrapping"/>
        <w:t xml:space="preserve">2.2 První etapou dlouhodobé spolupráce je pilotní nasazení za účelem ověření vhodnosti vybraných domů / projektů Partnera pro obchodní využití v platformě CONIS.</w:t>
        <w:br w:type="textWrapping"/>
        <w:t xml:space="preserve">2.3 Celkový smluvní rámec tvoří následující vzájemně provázané dokumenty: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a) Elektronická objednávka pilotního nasazení (jediný individualizovaný dokument),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b) Tato Rámcová smlouva o spolupráci,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c) Implementační standard pilotního nasazení (Příloha č. 1),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d) Zpracovatelská smlouva / DPA (Příloha č. 2),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e) Všeobecné obchodní podmínky CONIS (VOP).</w:t>
      </w:r>
    </w:p>
    <w:p w:rsidR="00000000" w:rsidDel="00000000" w:rsidP="00000000" w:rsidRDefault="00000000" w:rsidRPr="00000000" w14:paraId="0000000C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3 – UZAVŘENÍ SMLOUVY A NABYTÍ ÚČINNOSTI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3.1 Uzavření smlouvy (Vznik): </w:t>
      </w:r>
      <w:r w:rsidDel="00000000" w:rsidR="00000000" w:rsidRPr="00000000">
        <w:rPr>
          <w:rFonts w:ascii="Inter" w:cs="Inter" w:eastAsia="Inter" w:hAnsi="Inter"/>
          <w:rtl w:val="0"/>
        </w:rPr>
        <w:t xml:space="preserve">Tato Rámcová smlouva se uzavírá v elektronické podobě okamžikem, kdy Partner potvrdí a odešle Elektronickou objednávku v objednávkovém rozhraní CONIS (click-wrap akceptace).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3.2 Nabytí účinnosti: </w:t>
      </w:r>
      <w:r w:rsidDel="00000000" w:rsidR="00000000" w:rsidRPr="00000000">
        <w:rPr>
          <w:rFonts w:ascii="Inter" w:cs="Inter" w:eastAsia="Inter" w:hAnsi="Inter"/>
          <w:rtl w:val="0"/>
        </w:rPr>
        <w:t xml:space="preserve">Tato Rámcová smlouva nabývá účinnosti a povinnost CONIS zahájit plnění (pilotní nasazení) nastává okamžikem připsání platby za proforma fakturu vystavenou na základě Elektronické objednávky na bankovní účet Poskytovatele.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3.3 Zánik neuhrazené objednávky: </w:t>
      </w:r>
      <w:r w:rsidDel="00000000" w:rsidR="00000000" w:rsidRPr="00000000">
        <w:rPr>
          <w:rFonts w:ascii="Inter" w:cs="Inter" w:eastAsia="Inter" w:hAnsi="Inter"/>
          <w:rtl w:val="0"/>
        </w:rPr>
        <w:t xml:space="preserve">Nebude-li proforma faktura uhrazena ve lhůtě splatnosti (3 dny od vystavení), Elektronická objednávka i k ní vázaná Rámcová smlouva od počátku bez dalšího zanikají.</w:t>
      </w:r>
    </w:p>
    <w:p w:rsidR="00000000" w:rsidDel="00000000" w:rsidP="00000000" w:rsidRDefault="00000000" w:rsidRPr="00000000" w14:paraId="0000000E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4 – PŘEDMĚT PLNĚNÍ A LICENČNÍ UJEDNÁNÍ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</w:rPr>
      </w:pPr>
      <w:r>
        <w:rPr>
          <w:b/>
        </w:rPr>
        <w:t>4.1 Poskytnutí platformy:</w:t>
      </w:r>
      <w:r>
        <w:t xml:space="preserve"> CONIS se zavazuje zpřístupnit Partnerovi cloudovou platformu v rozsahu modulů sjednaných v Elektronické objednávce a v souladu s Implementačním standardem.</w:t>
      </w:r>
      <w:r>
        <w:br/>
      </w:r>
      <w:r>
        <w:rPr>
          <w:b/>
        </w:rPr>
        <w:t>4.2 Licence pro Partnera:</w:t>
      </w:r>
      <w:r>
        <w:t xml:space="preserve"> CONIS uděluje Partnerovi nevýhradní, nepřevoditelné oprávnění (licenci) k užívání platformy po dobu trvání smluvního vztahu. Platforma ani její zdrojové kódové části se nestávají vlastnictvím Partnera.</w:t>
      </w:r>
      <w:r>
        <w:br/>
      </w:r>
      <w:r>
        <w:rPr>
          <w:b/>
        </w:rPr>
        <w:t>4.3 Oprávnění k podkladům:</w:t>
      </w:r>
      <w:r>
        <w:t xml:space="preserve"> Partner uděluje Poskytovateli bezúplatné a nevýhradní oprávnění užít jím dodané podklady (texty, vizualizace, půdorysy, loga a ochranné známky) výhradně pro účely implementace, provozu a prezentace služby CONIS.</w:t>
      </w:r>
      <w:r>
        <w:br/>
      </w:r>
      <w:r>
        <w:rPr>
          <w:b/>
        </w:rPr>
        <w:t>4.4 Užívání vytvořených materiálů Partnerem:</w:t>
      </w:r>
      <w:r>
        <w:t xml:space="preserve"> Partner je oprávněn materiály vytvořené nebo upravené Poskytovatelem v rámci pilotního nasazení, zejména upravené obrázky a vizualizace, užívat na vlastním webu a ve vlastních PDF prezentacích. Jakékoli jiné užití, zejména v placené reklamě, televizním vysílání nebo jiných hromadných mediálních kampaních, vyžaduje předchozí souhlas Poskytovatele a případné vypořádání dalších licenčních práv a odměn podle autorského zákona.</w:t>
      </w:r>
    </w:p>
    <w:p w:rsidR="00000000" w:rsidDel="00000000" w:rsidP="00000000" w:rsidRDefault="00000000" w:rsidRPr="00000000" w14:paraId="00000010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5 – CENA A PLATEBNÍ PODMÍNKY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</w:rPr>
      </w:pPr>
      <w:r>
        <w:rPr>
          <w:b/>
        </w:rPr>
        <w:t>5.1 Cena pilotu:</w:t>
      </w:r>
      <w:r>
        <w:t xml:space="preserve"> Cena pilotního nasazení se řídí variantou a rozsahem uvedeným v Elektronické objednávce.</w:t>
      </w:r>
      <w:r>
        <w:br/>
      </w:r>
      <w:r>
        <w:rPr>
          <w:b/>
        </w:rPr>
        <w:t>5.2 Úhrada pilotu:</w:t>
      </w:r>
      <w:r>
        <w:t xml:space="preserve"> Cena pilotního nasazení je hrazena předem na základě proforma faktury vydané Poskytovatelem po odeslání Elektronické objednávky.</w:t>
      </w:r>
      <w:r>
        <w:br/>
      </w:r>
      <w:r>
        <w:rPr>
          <w:b/>
        </w:rPr>
        <w:t>5.3 Výchozí běžný provoz:</w:t>
      </w:r>
      <w:r>
        <w:t xml:space="preserve"> Není-li běžný provoz ukončen nejpozději poslední den pilotního provozu, pokračuje od následujícího dne automaticky v režimu platby podle skutečného počtu kvalifikovaných Profilů zájemců za podmínek VOP.</w:t>
      </w:r>
      <w:r>
        <w:br/>
      </w:r>
      <w:r>
        <w:rPr>
          <w:b/>
        </w:rPr>
        <w:t>5.4 Paušální provoz:</w:t>
      </w:r>
      <w:r>
        <w:t xml:space="preserve"> Přechod na paušální tarif START, DRIVE nebo FLY nastává pouze na základě elektronické volby Partnera nebo jeho elektronické akceptace nabídky Poskytovatele.</w:t>
      </w:r>
      <w:r>
        <w:br/>
      </w:r>
      <w:r>
        <w:rPr>
          <w:b/>
        </w:rPr>
        <w:t>5.5 Rozšíření o další dům:</w:t>
      </w:r>
      <w:r>
        <w:t xml:space="preserve"> Partner může v průběhu smluvního vztahu objednat implementaci dalšího domu za cenu 9 970 Kč za dům, není-li v konkrétní elektronické objednávce sjednáno jinak.</w:t>
      </w:r>
    </w:p>
    <w:p w:rsidR="00000000" w:rsidDel="00000000" w:rsidP="00000000" w:rsidRDefault="00000000" w:rsidRPr="00000000" w14:paraId="00000012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6 – OMEZENÍ ODPOVĚDNOSTI ZA ŠKODU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6.1 Finanční limit odpovědnosti: </w:t>
      </w:r>
      <w:r w:rsidDel="00000000" w:rsidR="00000000" w:rsidRPr="00000000">
        <w:rPr>
          <w:rFonts w:ascii="Inter" w:cs="Inter" w:eastAsia="Inter" w:hAnsi="Inter"/>
          <w:rtl w:val="0"/>
        </w:rPr>
        <w:t xml:space="preserve">Celková povinnost Poskytovatele k náhradě jakékoli újmy či škody vzniklé v souvislosti s plněním této smlouvy je smluvními stranami limitována maximální částkou odpovídající součtu plateb skutečně uhrazených Partnerem Poskytovateli za poslední 3 měsíce provozu před vznikem škody (v případě škody během pilotní fáze je limitován výší ceny pilotu).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6.2 Vyloučení nepřímých škod: </w:t>
      </w:r>
      <w:r w:rsidDel="00000000" w:rsidR="00000000" w:rsidRPr="00000000">
        <w:rPr>
          <w:rFonts w:ascii="Inter" w:cs="Inter" w:eastAsia="Inter" w:hAnsi="Inter"/>
          <w:rtl w:val="0"/>
        </w:rPr>
        <w:t xml:space="preserve">Poskytovatel neodpovídá za ušlý zisk, nepřímé či následné škody, ztrátu obchodních příležitostí ani za dosažení konkrétních obchodních nebo konverzních výsledků Partnera.</w:t>
      </w:r>
    </w:p>
    <w:p w:rsidR="00000000" w:rsidDel="00000000" w:rsidP="00000000" w:rsidRDefault="00000000" w:rsidRPr="00000000" w14:paraId="00000014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7 – DOBA TRVÁNÍ A UKONČENÍ SMLOUVY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7.1 Trvání smlouvy: </w:t>
      </w:r>
      <w:r w:rsidDel="00000000" w:rsidR="00000000" w:rsidRPr="00000000">
        <w:rPr>
          <w:rFonts w:ascii="Inter" w:cs="Inter" w:eastAsia="Inter" w:hAnsi="Inter"/>
          <w:rtl w:val="0"/>
        </w:rPr>
        <w:t xml:space="preserve">Tato smlouva se uzavírá na dobu neurčitou.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7.2 Pilotní fáze: </w:t>
      </w:r>
      <w:r w:rsidDel="00000000" w:rsidR="00000000" w:rsidRPr="00000000">
        <w:rPr>
          <w:rFonts w:ascii="Inter" w:cs="Inter" w:eastAsia="Inter" w:hAnsi="Inter"/>
          <w:rtl w:val="0"/>
        </w:rPr>
        <w:t xml:space="preserve">Během pilotní fáze (prvních 90 dnů) lze smlouvu ukončit pouze písemným odstoupením při podstatném porušení smlouvy druhým účastníkem. Zaplacená cena pilotního nasazení je nevratná.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7.3 Běžný provoz: </w:t>
      </w:r>
      <w:r w:rsidDel="00000000" w:rsidR="00000000" w:rsidRPr="00000000">
        <w:rPr>
          <w:rFonts w:ascii="Inter" w:cs="Inter" w:eastAsia="Inter" w:hAnsi="Inter"/>
          <w:rtl w:val="0"/>
        </w:rPr>
        <w:t xml:space="preserve">Po uplynutí pilotní fáze se podmínky výpovědi a ukončení smlouvy řídí ustanoveními VOP.</w:t>
      </w:r>
    </w:p>
    <w:p w:rsidR="00000000" w:rsidDel="00000000" w:rsidP="00000000" w:rsidRDefault="00000000" w:rsidRPr="00000000" w14:paraId="00000016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8 – HIERARCHIE A ZÁVĚREČNÁ UPOZORNĚNÍ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8.1 Pořadí přednosti dokumentů: </w:t>
      </w:r>
      <w:r w:rsidDel="00000000" w:rsidR="00000000" w:rsidRPr="00000000">
        <w:rPr>
          <w:rFonts w:ascii="Inter" w:cs="Inter" w:eastAsia="Inter" w:hAnsi="Inter"/>
          <w:rtl w:val="0"/>
        </w:rPr>
        <w:t xml:space="preserve">V případě jakýchkoli rozporů mezi jednotlivými dokumenty smluvního rámce platí následující závazné pořadí přednosti: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1. Elektronická objednávka pilotního nasazení,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2. Tato Rámcová smlouva o spolupráci,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3. Implementační standard (Příloha č. 1) a DPA (Příloha č. 2),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4. Všeobecné obchodní podmínky (VOP).</w:t>
      </w:r>
    </w:p>
    <w:p w:rsidR="00000000" w:rsidDel="00000000" w:rsidP="00000000" w:rsidRDefault="00000000" w:rsidRPr="00000000" w14:paraId="0000001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8.2 Rozhodné právo: </w:t>
      </w:r>
      <w:r w:rsidDel="00000000" w:rsidR="00000000" w:rsidRPr="00000000">
        <w:rPr>
          <w:rFonts w:ascii="Inter" w:cs="Inter" w:eastAsia="Inter" w:hAnsi="Inter"/>
          <w:rtl w:val="0"/>
        </w:rPr>
        <w:t xml:space="preserve">Právní vztahy založené touto smlouvou se řídí výhradně právním řádem České republiky, zejména zák. č. 89/2012 Sb., občanským zákoníkem v platném znění.</w:t>
      </w:r>
    </w:p>
    <w:sectPr>
      <w:headerReference r:id="rId7" w:type="default"/>
      <w:footerReference r:id="rId8" w:type="default"/>
      <w:pgSz w:h="16834" w:w="11909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after="0" w:line="240" w:lineRule="auto"/>
      <w:jc w:val="center"/>
      <w:rPr>
        <w:rFonts w:ascii="Inter" w:cs="Inter" w:eastAsia="Inter" w:hAnsi="Inter"/>
        <w:i w:val="1"/>
        <w:iCs w:val="1"/>
        <w:color w:val="64748b"/>
        <w:sz w:val="17"/>
        <w:szCs w:val="17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jc w:val="center"/>
      <w:rPr>
        <w:color w:val="64748b"/>
        <w:sz w:val="17"/>
        <w:szCs w:val="17"/>
      </w:rPr>
    </w:pPr>
    <w:r w:rsidDel="00000000" w:rsidR="00000000" w:rsidRPr="00000000">
      <w:rPr>
        <w:rFonts w:ascii="Inter" w:cs="Inter" w:eastAsia="Inter" w:hAnsi="Inter"/>
        <w:i w:val="1"/>
        <w:iCs w:val="1"/>
        <w:color w:val="64748b"/>
        <w:sz w:val="17"/>
        <w:szCs w:val="17"/>
        <w:rtl w:val="0"/>
      </w:rPr>
      <w:t xml:space="preserve">CONIS • www.conis.cz • kontakt@conis.cz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-47624</wp:posOffset>
          </wp:positionH>
          <wp:positionV relativeFrom="paragraph">
            <wp:posOffset>19051</wp:posOffset>
          </wp:positionV>
          <wp:extent cx="963278" cy="2905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3278" cy="2905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ab/>
      <w:tab/>
      <w:t xml:space="preserve">Conversion Intelligence System</w:t>
    </w:r>
  </w:p>
  <w:p w:rsidR="00000000" w:rsidDel="00000000" w:rsidP="00000000" w:rsidRDefault="00000000" w:rsidRPr="00000000" w14:paraId="0000001F">
    <w:pPr>
      <w:tabs>
        <w:tab w:val="center" w:leader="none" w:pos="4680"/>
        <w:tab w:val="right" w:leader="none" w:pos="9360"/>
      </w:tabs>
      <w:spacing w:after="0" w:line="240" w:lineRule="auto"/>
      <w:rPr>
        <w:color w:val="64748b"/>
        <w:sz w:val="17"/>
        <w:szCs w:val="17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f172a"/>
        <w:lang w:val="en"/>
      </w:rPr>
    </w:rPrDefault>
    <w:pPrDefault>
      <w:pPr>
        <w:spacing w:after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wAcjwpeeTNo1WnAQGnhdqTPGUQ==">CgMxLjA4AHIhMWNoQ1ZZU0NKZFhKTVVzQ09CSnM4ZHJZbzYzSlVFYkZP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