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36"/>
          <w:szCs w:val="36"/>
          <w:rtl w:val="0"/>
        </w:rPr>
        <w:t xml:space="preserve">IMPLEMENTAČNÍ STANDARD PILOTNÍHO NASAZENÍ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64748b"/>
          <w:sz w:val="20"/>
          <w:szCs w:val="20"/>
          <w:rtl w:val="0"/>
        </w:rPr>
        <w:t xml:space="preserve">Příloha č. 1 Rámcové smlouvy – Technický a realizační standard pilotní fáze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80" w:before="28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2"/>
          <w:szCs w:val="22"/>
          <w:rtl w:val="0"/>
        </w:rPr>
        <w:t xml:space="preserve">ČLÁNEK 1 – ÚČEL A CHARAKTER DOKUMENTU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1.1 Tento Implementační standard (Příloha č. 1 Rámcové smlouvy) definuje technické, procesní, realizační a akceptační podmínky první etapy spolupráce – pilotního nasazení platformy CONIS.</w:t>
        <w:br w:type="textWrapping"/>
        <w:t xml:space="preserve">1.2 Tento dokument slouží jako stálý realizační předpis. Konkrétní rozsah modulů a zvolená varianta Pilotu jsou určeny v Elektronické objednávce. Výchozí režim běžného provozu po skončení Pilotu se řídí VOP; případný paušální tarif Partner volí nebo elektronicky akceptuje samostatně.</w:t>
      </w:r>
    </w:p>
    <w:p w:rsidR="00000000" w:rsidDel="00000000" w:rsidP="00000000" w:rsidRDefault="00000000" w:rsidRPr="00000000" w14:paraId="00000005">
      <w:pPr>
        <w:keepNext w:val="1"/>
        <w:spacing w:after="80" w:before="28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2"/>
          <w:szCs w:val="22"/>
          <w:rtl w:val="0"/>
        </w:rPr>
        <w:t xml:space="preserve">ČLÁNEK 2 – ROZSAH A POPIS MODULŮ PLATFORMY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2.1 Dle varianty zvolené v Elektronické objednávce CONIS implementuje kombinaci následujících modulů na vybrané domy / projekty Partnera: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a) Hero: Úvodní konverzní vrstva prezentující klíčové architektury a přínosy projektu.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b) Priority: Interaktivní prezentace předností, standardů a dispozic vybraných domů.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c) FAQ: Adaptivní odpovědní vrstva pro nejčastější dotazy zájemců.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d) AI </w:t>
      </w:r>
      <w:r w:rsidDel="00000000" w:rsidR="00000000" w:rsidRPr="00000000">
        <w:rPr>
          <w:rFonts w:ascii="Inter" w:cs="Inter" w:eastAsia="Inter" w:hAnsi="Inter"/>
          <w:rtl w:val="0"/>
        </w:rPr>
        <w:t xml:space="preserve">poradce</w:t>
      </w: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: Digitální konverzační poradce provádějící zájemce výběrem nemovitosti.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360" w:right="0" w:hanging="360"/>
        <w:jc w:val="left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i w:val="0"/>
          <w:iCs w:val="0"/>
          <w:smallCaps w:val="0"/>
          <w:strike w:val="0"/>
          <w:color w:val="0f172a"/>
          <w:sz w:val="20"/>
          <w:szCs w:val="20"/>
          <w:u w:val="none"/>
          <w:shd w:fill="auto" w:val="clear"/>
          <w:vertAlign w:val="baseline"/>
          <w:rtl w:val="0"/>
        </w:rPr>
        <w:t xml:space="preserve">e) Lead Capture: Inteligentní nástroj pro strukturovaný sběr kontaktů a poptávek.</w:t>
      </w:r>
    </w:p>
    <w:p w:rsidR="00000000" w:rsidDel="00000000" w:rsidP="00000000" w:rsidRDefault="00000000" w:rsidRPr="00000000" w14:paraId="0000000C">
      <w:pPr>
        <w:keepNext w:val="1"/>
        <w:spacing w:after="80" w:before="28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2"/>
          <w:szCs w:val="22"/>
          <w:rtl w:val="0"/>
        </w:rPr>
        <w:t xml:space="preserve">ČLÁNEK 3 – SOUČINNOST PARTNERA A PŘEDÁNÍ PODKLADŮ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3.1 Lhůta pro předání podkladů: </w:t>
      </w:r>
      <w:r w:rsidDel="00000000" w:rsidR="00000000" w:rsidRPr="00000000">
        <w:rPr>
          <w:rFonts w:ascii="Inter" w:cs="Inter" w:eastAsia="Inter" w:hAnsi="Inter"/>
          <w:rtl w:val="0"/>
        </w:rPr>
        <w:t xml:space="preserve">Partner je povinen dodat Poskytovateli veškeré potřebné podklady (vizualizace, půdorysy, texty, ceníky, logotypy) do 7 kalendářních dnů od nabytí účinnosti smlouvy (připsání platby).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3.2 Odpovědnost za podklady: </w:t>
      </w:r>
      <w:r w:rsidDel="00000000" w:rsidR="00000000" w:rsidRPr="00000000">
        <w:rPr>
          <w:rFonts w:ascii="Inter" w:cs="Inter" w:eastAsia="Inter" w:hAnsi="Inter"/>
          <w:rtl w:val="0"/>
        </w:rPr>
        <w:t xml:space="preserve">Partner plně odpovídá za pravdivost, věcnou správnost a autorskoprávní bezvadnost předaných podkladů.</w:t>
      </w:r>
    </w:p>
    <w:p w:rsidR="00000000" w:rsidDel="00000000" w:rsidP="00000000" w:rsidRDefault="00000000" w:rsidRPr="00000000" w14:paraId="0000000E">
      <w:pPr>
        <w:keepNext w:val="1"/>
        <w:spacing w:after="80" w:before="28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2"/>
          <w:szCs w:val="22"/>
          <w:rtl w:val="0"/>
        </w:rPr>
        <w:t xml:space="preserve">ČLÁNEK 4 – HARMONOGRAM REALIZACE A DÉLKA PILOTU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4.1 Lhůta implementace: </w:t>
      </w:r>
      <w:r w:rsidDel="00000000" w:rsidR="00000000" w:rsidRPr="00000000">
        <w:rPr>
          <w:rFonts w:ascii="Inter" w:cs="Inter" w:eastAsia="Inter" w:hAnsi="Inter"/>
          <w:rtl w:val="0"/>
        </w:rPr>
        <w:t xml:space="preserve">CONIS provede technickou implementaci a nastavení modulů do 14 kalendářních dnů od řádného předání všech podkladů ze strany Partnera.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4.2 Zpřístupnění řešení: </w:t>
      </w:r>
      <w:r w:rsidDel="00000000" w:rsidR="00000000" w:rsidRPr="00000000">
        <w:rPr>
          <w:rFonts w:ascii="Inter" w:cs="Inter" w:eastAsia="Inter" w:hAnsi="Inter"/>
          <w:rtl w:val="0"/>
        </w:rPr>
        <w:t xml:space="preserve">Po dokončení implementace CONIS zpřístupní řešení Partnerovi a e-mailem mu oznámí zahájení provozu.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4.3 Délka pilotního provozu: </w:t>
      </w:r>
      <w:r w:rsidDel="00000000" w:rsidR="00000000" w:rsidRPr="00000000">
        <w:rPr>
          <w:rFonts w:ascii="Inter" w:cs="Inter" w:eastAsia="Inter" w:hAnsi="Inter"/>
          <w:rtl w:val="0"/>
        </w:rPr>
        <w:t xml:space="preserve">Pilotní provoz trvá 90 kalendářních dnů. Lhůta začíná běžet prvním dnem následujícím po zpřístupnění řešení Partnerovi.</w:t>
      </w:r>
    </w:p>
    <w:p w:rsidR="00000000" w:rsidDel="00000000" w:rsidP="00000000" w:rsidRDefault="00000000" w:rsidRPr="00000000" w14:paraId="00000010">
      <w:pPr>
        <w:keepNext w:val="1"/>
        <w:spacing w:after="80" w:before="28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2"/>
          <w:szCs w:val="22"/>
          <w:rtl w:val="0"/>
        </w:rPr>
        <w:t xml:space="preserve">ČLÁNEK 5 – AKCEPTAČNÍ PROCEDURA (PRAVIDLO 7 DNŮ)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5.1 Lhůta pro námitky: </w:t>
      </w:r>
      <w:r w:rsidDel="00000000" w:rsidR="00000000" w:rsidRPr="00000000">
        <w:rPr>
          <w:rFonts w:ascii="Inter" w:cs="Inter" w:eastAsia="Inter" w:hAnsi="Inter"/>
          <w:rtl w:val="0"/>
        </w:rPr>
        <w:t xml:space="preserve">Partner je povinen zpřístupněné řešení zkontrolovat a do 7 kalendářních dnů od oznámení zpřístupnění uplatnit případné odůvodněné technické námitky vůči funkčnosti.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5.2 Fiktivní akceptace (Převzetí): </w:t>
      </w:r>
      <w:r w:rsidDel="00000000" w:rsidR="00000000" w:rsidRPr="00000000">
        <w:rPr>
          <w:rFonts w:ascii="Inter" w:cs="Inter" w:eastAsia="Inter" w:hAnsi="Inter"/>
          <w:rtl w:val="0"/>
        </w:rPr>
        <w:t xml:space="preserve">Pokud Partner ve lhůtě 7 kalendářních dnů nevznese žádné odůvodněné námitky, považuje se pilotní nasazení za řádně převzaté a akceptované bez výhrad.</w:t>
      </w:r>
    </w:p>
    <w:p w:rsidR="00000000" w:rsidDel="00000000" w:rsidP="00000000" w:rsidRDefault="00000000" w:rsidRPr="00000000" w14:paraId="00000012">
      <w:pPr>
        <w:keepNext w:val="1"/>
        <w:spacing w:after="80" w:before="280" w:lineRule="auto"/>
        <w:rPr>
          <w:rFonts w:ascii="Inter" w:cs="Inter" w:eastAsia="Inter" w:hAnsi="Inter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17324d"/>
          <w:sz w:val="22"/>
          <w:szCs w:val="22"/>
          <w:rtl w:val="0"/>
        </w:rPr>
        <w:t xml:space="preserve">ČLÁNEK 6 – PŘECHOD DO BĚŽNÉHO PROVOZU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Inter" w:cs="Inter" w:eastAsia="Inter" w:hAnsi="Inter"/>
        </w:rPr>
      </w:pPr>
      <w:r>
        <w:rPr>
          <w:b/>
        </w:rPr>
        <w:t>6.1 Automatický přechod:</w:t>
      </w:r>
      <w:r>
        <w:t xml:space="preserve"> Po uplynutí 90 dnů pilotního provozu přechází spolupráce automaticky do běžného provozu v režimu platby podle skutečného počtu kvalifikovaných Profilů zájemců dle VOP. Nečinnost Partnera po obdržení upozornění na konec Pilotu se považuje za pokračování v tomto výchozím režimu.</w:t>
      </w:r>
      <w:r>
        <w:br/>
      </w:r>
      <w:r>
        <w:rPr>
          <w:b/>
        </w:rPr>
        <w:t>6.2 Možnost nepokračovat:</w:t>
      </w:r>
      <w:r>
        <w:t xml:space="preserve"> Partner může běžný provoz po Pilotu odmítnout písemným oznámením e-mailem nebo prostřednictvím elektronického odkazu zpřístupněného Poskytovatelem, a to nejpozději poslední den 90denní lhůty Pilotu. Od prvního následujícího dne již vzniká závazek běžného provozu podle čl. 6.1.</w:t>
      </w:r>
      <w:r>
        <w:br/>
      </w:r>
      <w:r>
        <w:rPr>
          <w:b/>
        </w:rPr>
        <w:t>6.3 Paušální tarif:</w:t>
      </w:r>
      <w:r>
        <w:t xml:space="preserve"> Přechod z výchozího režimu platby podle počtu Profilů zájemců na paušální tarif START, DRIVE nebo FLY je účinný pouze na základě elektronické volby Partnera nebo jeho elektronické akceptace konkrétní nabídky Poskytovatele.</w:t>
      </w:r>
    </w:p>
    <w:sectPr>
      <w:headerReference r:id="rId7" w:type="default"/>
      <w:footerReference r:id="rId8" w:type="default"/>
      <w:pgSz w:h="16834" w:w="11909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spacing w:after="0" w:line="240" w:lineRule="auto"/>
      <w:jc w:val="center"/>
      <w:rPr>
        <w:rFonts w:ascii="Inter" w:cs="Inter" w:eastAsia="Inter" w:hAnsi="Inter"/>
        <w:i w:val="1"/>
        <w:iCs w:val="1"/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jc w:val="center"/>
      <w:rPr>
        <w:color w:val="64748b"/>
        <w:sz w:val="17"/>
        <w:szCs w:val="17"/>
      </w:rPr>
    </w:pPr>
    <w:r w:rsidDel="00000000" w:rsidR="00000000" w:rsidRPr="00000000">
      <w:rPr>
        <w:rFonts w:ascii="Inter" w:cs="Inter" w:eastAsia="Inter" w:hAnsi="Inter"/>
        <w:i w:val="1"/>
        <w:iCs w:val="1"/>
        <w:color w:val="64748b"/>
        <w:sz w:val="17"/>
        <w:szCs w:val="17"/>
        <w:rtl w:val="0"/>
      </w:rPr>
      <w:t xml:space="preserve">CONIS • www.conis.cz • kontakt@conis.cz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19051</wp:posOffset>
          </wp:positionV>
          <wp:extent cx="963278" cy="2905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78" cy="2905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ab/>
      <w:tab/>
      <w:t xml:space="preserve">Conversion Intelligence System</w:t>
    </w:r>
  </w:p>
  <w:p w:rsidR="00000000" w:rsidDel="00000000" w:rsidP="00000000" w:rsidRDefault="00000000" w:rsidRPr="00000000" w14:paraId="00000016">
    <w:pPr>
      <w:tabs>
        <w:tab w:val="center" w:leader="none" w:pos="4680"/>
        <w:tab w:val="right" w:leader="none" w:pos="9360"/>
      </w:tabs>
      <w:spacing w:after="0" w:line="240" w:lineRule="auto"/>
      <w:rPr>
        <w:rFonts w:ascii="Inter" w:cs="Inter" w:eastAsia="Inter" w:hAnsi="Inter"/>
        <w:i w:val="1"/>
        <w:iCs w:val="1"/>
        <w:color w:val="64748b"/>
        <w:sz w:val="17"/>
        <w:szCs w:val="17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0f172a"/>
        <w:lang w:val="en"/>
      </w:rPr>
    </w:rPrDefault>
    <w:pPrDefault>
      <w:pPr>
        <w:spacing w:after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6wjUgQ/n5GNZ7Sai/ucx01QGA==">CgMxLjA4AHIhMTY1LVV2cVExUnB3ZmRzZWFpd1gwNjZ0LVpPNGhlakQ0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