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PLATFORM ROADMAP</w:t>
      </w:r>
    </w:p>
    <w:p>
      <w:pPr>
        <w:jc w:val="center"/>
      </w:pPr>
      <w:r>
        <w:rPr>
          <w:sz w:val="28"/>
        </w:rPr>
        <w:t>Referenční stav implementace CONIS</w:t>
      </w:r>
    </w:p>
    <w:p/>
    <w:p>
      <w:pPr>
        <w:jc w:val="center"/>
      </w:pPr>
      <w:r>
        <w:rPr>
          <w:sz w:val="20"/>
        </w:rPr>
        <w:t>SSOT — Platform Roadmap</w:t>
      </w:r>
    </w:p>
    <w:p>
      <w:pPr>
        <w:jc w:val="center"/>
      </w:pPr>
      <w:r>
        <w:rPr>
          <w:sz w:val="20"/>
        </w:rPr>
        <w:t>Verze: 1.1 · Datum: 2026-08-05</w:t>
      </w:r>
    </w:p>
    <w:p>
      <w:pPr>
        <w:jc w:val="center"/>
      </w:pPr>
      <w:r>
        <w:rPr>
          <w:sz w:val="20"/>
        </w:rPr>
        <w:t>Baseline: feature/cap-p04-founding-partner @ 1f5a873</w:t>
      </w:r>
    </w:p>
    <w:p>
      <w:pPr>
        <w:jc w:val="center"/>
      </w:pPr>
      <w:r>
        <w:rPr>
          <w:sz w:val="20"/>
        </w:rPr>
        <w:t>Commercial Journey v1.0 — partner purchase path</w:t>
      </w:r>
    </w:p>
    <w:p>
      <w:pPr>
        <w:jc w:val="center"/>
      </w:pPr>
      <w:r>
        <w:rPr>
          <w:sz w:val="20"/>
        </w:rPr>
        <w:t>Pouze aktuální stav — bez historických poznámek</w:t>
      </w:r>
    </w:p>
    <w:p>
      <w:r>
        <w:br w:type="page"/>
      </w:r>
    </w:p>
    <w:p>
      <w:pPr>
        <w:pStyle w:val="Heading1"/>
      </w:pPr>
      <w:r>
        <w:t>1. Účel</w:t>
      </w:r>
    </w:p>
    <w:p>
      <w:r>
        <w:t>Tento dokument je jediný referenční přehled implementace platformy CONIS pro orientaci týmu. Odpovídá skutečnému stavu k datu baseline.</w:t>
      </w:r>
    </w:p>
    <w:p>
      <w:pPr>
        <w:pStyle w:val="Heading1"/>
      </w:pPr>
      <w:r>
        <w:t>2. Milníky projektu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Milník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Stav</w:t>
            </w:r>
          </w:p>
        </w:tc>
        <w:tc>
          <w:tcPr>
            <w:tcW w:type="dxa" w:w="3249"/>
          </w:tcPr>
          <w:p>
            <w:r>
              <w:rPr>
                <w:b/>
              </w:rPr>
              <w:t>Význam</w:t>
            </w:r>
          </w:p>
        </w:tc>
      </w:tr>
      <w:tr>
        <w:tc>
          <w:tcPr>
            <w:tcW w:type="dxa" w:w="3249"/>
          </w:tcPr>
          <w:p>
            <w:r>
              <w:t>Shared Runtime + Embed Experience</w:t>
            </w:r>
          </w:p>
        </w:tc>
        <w:tc>
          <w:tcPr>
            <w:tcW w:type="dxa" w:w="3249"/>
          </w:tcPr>
          <w:p>
            <w:r>
              <w:t>Aktivní</w:t>
            </w:r>
          </w:p>
        </w:tc>
        <w:tc>
          <w:tcPr>
            <w:tcW w:type="dxa" w:w="3249"/>
          </w:tcPr>
          <w:p>
            <w:r>
              <w:t>Produkční Decision Experience</w:t>
            </w:r>
          </w:p>
        </w:tc>
      </w:tr>
      <w:tr>
        <w:tc>
          <w:tcPr>
            <w:tcW w:type="dxa" w:w="3249"/>
          </w:tcPr>
          <w:p>
            <w:r>
              <w:t>Identity &amp; Access</w:t>
            </w:r>
          </w:p>
        </w:tc>
        <w:tc>
          <w:tcPr>
            <w:tcW w:type="dxa" w:w="3249"/>
          </w:tcPr>
          <w:p>
            <w:r>
              <w:t>Hotovo</w:t>
            </w:r>
          </w:p>
        </w:tc>
        <w:tc>
          <w:tcPr>
            <w:tcW w:type="dxa" w:w="3249"/>
          </w:tcPr>
          <w:p>
            <w:r>
              <w:t>Pozvánky, NDA, role, studia</w:t>
            </w:r>
          </w:p>
        </w:tc>
      </w:tr>
      <w:tr>
        <w:tc>
          <w:tcPr>
            <w:tcW w:type="dxa" w:w="3249"/>
          </w:tcPr>
          <w:p>
            <w:r>
              <w:t>Office Studio v1.0</w:t>
            </w:r>
          </w:p>
        </w:tc>
        <w:tc>
          <w:tcPr>
            <w:tcW w:type="dxa" w:w="3249"/>
          </w:tcPr>
          <w:p>
            <w:r>
              <w:t>Hotovo / FROZEN</w:t>
            </w:r>
          </w:p>
        </w:tc>
        <w:tc>
          <w:tcPr>
            <w:tcW w:type="dxa" w:w="3249"/>
          </w:tcPr>
          <w:p>
            <w:r>
              <w:t>Obchodní baseline partnerů</w:t>
            </w:r>
          </w:p>
        </w:tc>
      </w:tr>
      <w:tr>
        <w:tc>
          <w:tcPr>
            <w:tcW w:type="dxa" w:w="3249"/>
          </w:tcPr>
          <w:p>
            <w:r>
              <w:t>Partner Environment v1.0</w:t>
            </w:r>
          </w:p>
        </w:tc>
        <w:tc>
          <w:tcPr>
            <w:tcW w:type="dxa" w:w="3249"/>
          </w:tcPr>
          <w:p>
            <w:r>
              <w:t>Hotovo</w:t>
            </w:r>
          </w:p>
        </w:tc>
        <w:tc>
          <w:tcPr>
            <w:tcW w:type="dxa" w:w="3249"/>
          </w:tcPr>
          <w:p>
            <w:r>
              <w:t>Provisioning + Lifecycle + Administration</w:t>
            </w:r>
          </w:p>
        </w:tc>
      </w:tr>
      <w:tr>
        <w:tc>
          <w:tcPr>
            <w:tcW w:type="dxa" w:w="3249"/>
          </w:tcPr>
          <w:p>
            <w:r>
              <w:t>Commercial Journey v1.0</w:t>
            </w:r>
          </w:p>
        </w:tc>
        <w:tc>
          <w:tcPr>
            <w:tcW w:type="dxa" w:w="3249"/>
          </w:tcPr>
          <w:p>
            <w:r>
              <w:t>Hotovo · Product Review</w:t>
            </w:r>
          </w:p>
        </w:tc>
        <w:tc>
          <w:tcPr>
            <w:tcW w:type="dxa" w:w="3249"/>
          </w:tcPr>
          <w:p>
            <w:r>
              <w:t>Partner purchase: Vítejte → … → CONIS Studio</w:t>
            </w:r>
          </w:p>
        </w:tc>
      </w:tr>
      <w:tr>
        <w:tc>
          <w:tcPr>
            <w:tcW w:type="dxa" w:w="3249"/>
          </w:tcPr>
          <w:p>
            <w:r>
              <w:t>Pilot Feedback → v1.1+</w:t>
            </w:r>
          </w:p>
        </w:tc>
        <w:tc>
          <w:tcPr>
            <w:tcW w:type="dxa" w:w="3249"/>
          </w:tcPr>
          <w:p>
            <w:r>
              <w:t>Připraveno</w:t>
            </w:r>
          </w:p>
        </w:tc>
        <w:tc>
          <w:tcPr>
            <w:tcW w:type="dxa" w:w="3249"/>
          </w:tcPr>
          <w:p>
            <w:r>
              <w:t>Další rozvoj řízen validací</w:t>
            </w:r>
          </w:p>
        </w:tc>
      </w:tr>
    </w:tbl>
    <w:p/>
    <w:p>
      <w:pPr>
        <w:pStyle w:val="Heading1"/>
      </w:pPr>
      <w:r>
        <w:t>3. EPIC roadmap — Office Studio v1.0</w:t>
      </w:r>
    </w:p>
    <w:p>
      <w:r>
        <w:t>Všechny položky níže jsou uzavřené a pushnuté.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Název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Stav</w:t>
            </w:r>
          </w:p>
        </w:tc>
      </w:tr>
      <w:tr>
        <w:tc>
          <w:tcPr>
            <w:tcW w:type="dxa" w:w="2436"/>
          </w:tcPr>
          <w:p>
            <w:r>
              <w:t>OF-01</w:t>
            </w:r>
          </w:p>
        </w:tc>
        <w:tc>
          <w:tcPr>
            <w:tcW w:type="dxa" w:w="2436"/>
          </w:tcPr>
          <w:p>
            <w:r>
              <w:t>Office Shell</w:t>
            </w:r>
          </w:p>
        </w:tc>
        <w:tc>
          <w:tcPr>
            <w:tcW w:type="dxa" w:w="2436"/>
          </w:tcPr>
          <w:p>
            <w:r>
              <w:t>6a1a8b5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OF-02</w:t>
            </w:r>
          </w:p>
        </w:tc>
        <w:tc>
          <w:tcPr>
            <w:tcW w:type="dxa" w:w="2436"/>
          </w:tcPr>
          <w:p>
            <w:r>
              <w:t>Partner Workspace</w:t>
            </w:r>
          </w:p>
        </w:tc>
        <w:tc>
          <w:tcPr>
            <w:tcW w:type="dxa" w:w="2436"/>
          </w:tcPr>
          <w:p>
            <w:r>
              <w:t>b1a2c94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OF-03</w:t>
            </w:r>
          </w:p>
        </w:tc>
        <w:tc>
          <w:tcPr>
            <w:tcW w:type="dxa" w:w="2436"/>
          </w:tcPr>
          <w:p>
            <w:r>
              <w:t>Sales Workspace</w:t>
            </w:r>
          </w:p>
        </w:tc>
        <w:tc>
          <w:tcPr>
            <w:tcW w:type="dxa" w:w="2436"/>
          </w:tcPr>
          <w:p>
            <w:r>
              <w:t>5044ca2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OF-04</w:t>
            </w:r>
          </w:p>
        </w:tc>
        <w:tc>
          <w:tcPr>
            <w:tcW w:type="dxa" w:w="2436"/>
          </w:tcPr>
          <w:p>
            <w:r>
              <w:t>Document Workspace</w:t>
            </w:r>
          </w:p>
        </w:tc>
        <w:tc>
          <w:tcPr>
            <w:tcW w:type="dxa" w:w="2436"/>
          </w:tcPr>
          <w:p>
            <w:r>
              <w:t>ef4857e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OF-05</w:t>
            </w:r>
          </w:p>
        </w:tc>
        <w:tc>
          <w:tcPr>
            <w:tcW w:type="dxa" w:w="2436"/>
          </w:tcPr>
          <w:p>
            <w:r>
              <w:t>Builder Handoff</w:t>
            </w:r>
          </w:p>
        </w:tc>
        <w:tc>
          <w:tcPr>
            <w:tcW w:type="dxa" w:w="2436"/>
          </w:tcPr>
          <w:p>
            <w:r>
              <w:t>3d339fd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OF-06</w:t>
            </w:r>
          </w:p>
        </w:tc>
        <w:tc>
          <w:tcPr>
            <w:tcW w:type="dxa" w:w="2436"/>
          </w:tcPr>
          <w:p>
            <w:r>
              <w:t>Office Pilot Journey</w:t>
            </w:r>
          </w:p>
        </w:tc>
        <w:tc>
          <w:tcPr>
            <w:tcW w:type="dxa" w:w="2436"/>
          </w:tcPr>
          <w:p>
            <w:r>
              <w:t>dfa124c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OF-07</w:t>
            </w:r>
          </w:p>
        </w:tc>
        <w:tc>
          <w:tcPr>
            <w:tcW w:type="dxa" w:w="2436"/>
          </w:tcPr>
          <w:p>
            <w:r>
              <w:t>Identity &amp; Access</w:t>
            </w:r>
          </w:p>
        </w:tc>
        <w:tc>
          <w:tcPr>
            <w:tcW w:type="dxa" w:w="2436"/>
          </w:tcPr>
          <w:p>
            <w:r>
              <w:t>3fb1fe9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CS-01</w:t>
            </w:r>
          </w:p>
        </w:tc>
        <w:tc>
          <w:tcPr>
            <w:tcW w:type="dxa" w:w="2436"/>
          </w:tcPr>
          <w:p>
            <w:r>
              <w:t>Pilot Partner Provisioning</w:t>
            </w:r>
          </w:p>
        </w:tc>
        <w:tc>
          <w:tcPr>
            <w:tcW w:type="dxa" w:w="2436"/>
          </w:tcPr>
          <w:p>
            <w:r>
              <w:t>b4741a0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PE-02</w:t>
            </w:r>
          </w:p>
        </w:tc>
        <w:tc>
          <w:tcPr>
            <w:tcW w:type="dxa" w:w="2436"/>
          </w:tcPr>
          <w:p>
            <w:r>
              <w:t>Brand Projection</w:t>
            </w:r>
          </w:p>
        </w:tc>
        <w:tc>
          <w:tcPr>
            <w:tcW w:type="dxa" w:w="2436"/>
          </w:tcPr>
          <w:p>
            <w:r>
              <w:t>b7fe956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PE-03</w:t>
            </w:r>
          </w:p>
        </w:tc>
        <w:tc>
          <w:tcPr>
            <w:tcW w:type="dxa" w:w="2436"/>
          </w:tcPr>
          <w:p>
            <w:r>
              <w:t>Pilot Workspace</w:t>
            </w:r>
          </w:p>
        </w:tc>
        <w:tc>
          <w:tcPr>
            <w:tcW w:type="dxa" w:w="2436"/>
          </w:tcPr>
          <w:p>
            <w:r>
              <w:t>ea0f6cb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PE-04</w:t>
            </w:r>
          </w:p>
        </w:tc>
        <w:tc>
          <w:tcPr>
            <w:tcW w:type="dxa" w:w="2436"/>
          </w:tcPr>
          <w:p>
            <w:r>
              <w:t>Invitation &amp; NDA</w:t>
            </w:r>
          </w:p>
        </w:tc>
        <w:tc>
          <w:tcPr>
            <w:tcW w:type="dxa" w:w="2436"/>
          </w:tcPr>
          <w:p>
            <w:r>
              <w:t>dede2fd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PE-05</w:t>
            </w:r>
          </w:p>
        </w:tc>
        <w:tc>
          <w:tcPr>
            <w:tcW w:type="dxa" w:w="2436"/>
          </w:tcPr>
          <w:p>
            <w:r>
              <w:t>Welcome Journey</w:t>
            </w:r>
          </w:p>
        </w:tc>
        <w:tc>
          <w:tcPr>
            <w:tcW w:type="dxa" w:w="2436"/>
          </w:tcPr>
          <w:p>
            <w:r>
              <w:t>8038d04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PE-06</w:t>
            </w:r>
          </w:p>
        </w:tc>
        <w:tc>
          <w:tcPr>
            <w:tcW w:type="dxa" w:w="2436"/>
          </w:tcPr>
          <w:p>
            <w:r>
              <w:t>Pilot Delivery</w:t>
            </w:r>
          </w:p>
        </w:tc>
        <w:tc>
          <w:tcPr>
            <w:tcW w:type="dxa" w:w="2436"/>
          </w:tcPr>
          <w:p>
            <w:r>
              <w:t>945ba84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PE-07</w:t>
            </w:r>
          </w:p>
        </w:tc>
        <w:tc>
          <w:tcPr>
            <w:tcW w:type="dxa" w:w="2436"/>
          </w:tcPr>
          <w:p>
            <w:r>
              <w:t>Pilot Delivery Finalize</w:t>
            </w:r>
          </w:p>
        </w:tc>
        <w:tc>
          <w:tcPr>
            <w:tcW w:type="dxa" w:w="2436"/>
          </w:tcPr>
          <w:p>
            <w:r>
              <w:t>9be34a9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PE-08</w:t>
            </w:r>
          </w:p>
        </w:tc>
        <w:tc>
          <w:tcPr>
            <w:tcW w:type="dxa" w:w="2436"/>
          </w:tcPr>
          <w:p>
            <w:r>
              <w:t>Commercial Follow-up</w:t>
            </w:r>
          </w:p>
        </w:tc>
        <w:tc>
          <w:tcPr>
            <w:tcW w:type="dxa" w:w="2436"/>
          </w:tcPr>
          <w:p>
            <w:r>
              <w:t>21b2706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PE-10</w:t>
            </w:r>
          </w:p>
        </w:tc>
        <w:tc>
          <w:tcPr>
            <w:tcW w:type="dxa" w:w="2436"/>
          </w:tcPr>
          <w:p>
            <w:r>
              <w:t>Partner Environment Provisioning</w:t>
            </w:r>
          </w:p>
        </w:tc>
        <w:tc>
          <w:tcPr>
            <w:tcW w:type="dxa" w:w="2436"/>
          </w:tcPr>
          <w:p>
            <w:r>
              <w:t>2ea815f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PE-09</w:t>
            </w:r>
          </w:p>
        </w:tc>
        <w:tc>
          <w:tcPr>
            <w:tcW w:type="dxa" w:w="2436"/>
          </w:tcPr>
          <w:p>
            <w:r>
              <w:t>Pilot Offer &amp; Checkout</w:t>
            </w:r>
          </w:p>
        </w:tc>
        <w:tc>
          <w:tcPr>
            <w:tcW w:type="dxa" w:w="2436"/>
          </w:tcPr>
          <w:p>
            <w:r>
              <w:t>ae3066d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PE-11</w:t>
            </w:r>
          </w:p>
        </w:tc>
        <w:tc>
          <w:tcPr>
            <w:tcW w:type="dxa" w:w="2436"/>
          </w:tcPr>
          <w:p>
            <w:r>
              <w:t>Partner Environment Lifecycle</w:t>
            </w:r>
          </w:p>
        </w:tc>
        <w:tc>
          <w:tcPr>
            <w:tcW w:type="dxa" w:w="2436"/>
          </w:tcPr>
          <w:p>
            <w:r>
              <w:t>466f7b5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  <w:tr>
        <w:tc>
          <w:tcPr>
            <w:tcW w:type="dxa" w:w="2436"/>
          </w:tcPr>
          <w:p>
            <w:r>
              <w:t>PE-12</w:t>
            </w:r>
          </w:p>
        </w:tc>
        <w:tc>
          <w:tcPr>
            <w:tcW w:type="dxa" w:w="2436"/>
          </w:tcPr>
          <w:p>
            <w:r>
              <w:t>Partner Administration</w:t>
            </w:r>
          </w:p>
        </w:tc>
        <w:tc>
          <w:tcPr>
            <w:tcW w:type="dxa" w:w="2436"/>
          </w:tcPr>
          <w:p>
            <w:r>
              <w:t>1f5a873</w:t>
            </w:r>
          </w:p>
        </w:tc>
        <w:tc>
          <w:tcPr>
            <w:tcW w:type="dxa" w:w="2436"/>
          </w:tcPr>
          <w:p>
            <w:r>
              <w:t>Dokončeno</w:t>
            </w:r>
          </w:p>
        </w:tc>
      </w:tr>
    </w:tbl>
    <w:p/>
    <w:p>
      <w:r>
        <w:t>Skutečné pořadí uzavření na konci řady: PE-10 → PE-09 → PE-11 → PE-12.</w:t>
      </w:r>
    </w:p>
    <w:p>
      <w:pPr>
        <w:pStyle w:val="Heading1"/>
      </w:pPr>
      <w:r>
        <w:t>4. Stav jednotlivých oblastí</w:t>
      </w:r>
    </w:p>
    <w:p>
      <w:pPr>
        <w:pStyle w:val="Heading2"/>
      </w:pPr>
      <w:r>
        <w:t>4.1 Dokončeno</w:t>
      </w:r>
    </w:p>
    <w:p>
      <w:pPr>
        <w:pStyle w:val="ListBullet"/>
      </w:pPr>
      <w:r>
        <w:t>Office Studio v1.0 (shell, partner, sales, documents, handoff, pilot journey, identity).</w:t>
      </w:r>
    </w:p>
    <w:p>
      <w:pPr>
        <w:pStyle w:val="ListBullet"/>
      </w:pPr>
      <w:r>
        <w:t>Partner Environment: provisioning, branding, pilot workspace, invitation/NDA, delivery, follow-up.</w:t>
      </w:r>
    </w:p>
    <w:p>
      <w:pPr>
        <w:pStyle w:val="ListBullet"/>
      </w:pPr>
      <w:r>
        <w:t>Pilot Offer &amp; Checkout (Pilot / Starter / Studio Partner).</w:t>
      </w:r>
    </w:p>
    <w:p>
      <w:pPr>
        <w:pStyle w:val="ListBullet"/>
      </w:pPr>
      <w:r>
        <w:t>Partner Environment Lifecycle (Active / Suspended / Archived) + studio access.</w:t>
      </w:r>
    </w:p>
    <w:p>
      <w:pPr>
        <w:pStyle w:val="ListBullet"/>
      </w:pPr>
      <w:r>
        <w:t>Partner Administration (profil, balíček, licence, kontakt, poznámky, audit).</w:t>
      </w:r>
    </w:p>
    <w:p>
      <w:pPr>
        <w:pStyle w:val="ListBullet"/>
      </w:pPr>
      <w:r>
        <w:t>Embed Experience + Shared Runtime jako produkční Decision Experience vrstva.</w:t>
      </w:r>
    </w:p>
    <w:p>
      <w:pPr>
        <w:pStyle w:val="ListBullet"/>
      </w:pPr>
      <w:r>
        <w:t>Commercial Journey v1.0 — partner purchase path (Working Terminal preview).</w:t>
      </w:r>
    </w:p>
    <w:p>
      <w:pPr>
        <w:pStyle w:val="Heading2"/>
      </w:pPr>
      <w:r>
        <w:t>4.2 Rozpracováno</w:t>
      </w:r>
    </w:p>
    <w:p>
      <w:pPr>
        <w:pStyle w:val="ListBullet"/>
      </w:pPr>
      <w:r>
        <w:t>Welcome Experience — dirty working tree; evoluce Welcome Journey; epic ID zatím nepřiřazeno.</w:t>
      </w:r>
    </w:p>
    <w:p>
      <w:pPr>
        <w:pStyle w:val="ListBullet"/>
      </w:pPr>
      <w:r>
        <w:t>PT-CJ-05 Finalization — Product Review hold před freeze commit.</w:t>
      </w:r>
    </w:p>
    <w:p>
      <w:pPr>
        <w:pStyle w:val="Heading2"/>
      </w:pPr>
      <w:r>
        <w:t>4.3 Připraveno / Karanténa</w:t>
      </w:r>
    </w:p>
    <w:p>
      <w:pPr>
        <w:pStyle w:val="ListBullet"/>
      </w:pPr>
      <w:r>
        <w:t>OF-08 Operations / AI — karanténa; reopen jen explicitním PT.</w:t>
      </w:r>
    </w:p>
    <w:p>
      <w:pPr>
        <w:pStyle w:val="ListBullet"/>
      </w:pPr>
      <w:r>
        <w:t>Roadmap v1.1+ — plánování až z VALIDATED pilot feedbacku nebo explicitního rozhodnutí.</w:t>
      </w:r>
    </w:p>
    <w:p>
      <w:pPr>
        <w:pStyle w:val="ListBullet"/>
      </w:pPr>
      <w:r>
        <w:t>Pilot Feedback Register — governance vstup pro další verze.</w:t>
      </w:r>
    </w:p>
    <w:p>
      <w:pPr>
        <w:pStyle w:val="Heading1"/>
      </w:pPr>
      <w:r>
        <w:t>5. Partner Journey (aktuální)</w:t>
      </w:r>
    </w:p>
    <w:p>
      <w:pPr>
        <w:pStyle w:val="ListNumber"/>
      </w:pPr>
      <w:r>
        <w:t>Pilot Partner Provisioning / Partner Environment Provisioning</w:t>
      </w:r>
    </w:p>
    <w:p>
      <w:pPr>
        <w:pStyle w:val="ListNumber"/>
      </w:pPr>
      <w:r>
        <w:t>Invitation &amp; NDA</w:t>
      </w:r>
    </w:p>
    <w:p>
      <w:pPr>
        <w:pStyle w:val="ListNumber"/>
      </w:pPr>
      <w:r>
        <w:t>Pilot Delivery (+ Finalize)</w:t>
      </w:r>
    </w:p>
    <w:p>
      <w:pPr>
        <w:pStyle w:val="ListNumber"/>
      </w:pPr>
      <w:r>
        <w:t>Commercial Follow-up</w:t>
      </w:r>
    </w:p>
    <w:p>
      <w:pPr>
        <w:pStyle w:val="ListNumber"/>
      </w:pPr>
      <w:r>
        <w:t>Welcome Journey</w:t>
      </w:r>
    </w:p>
    <w:p>
      <w:pPr>
        <w:pStyle w:val="ListNumber"/>
      </w:pPr>
      <w:r>
        <w:t>Partner Environment Lifecycle</w:t>
      </w:r>
    </w:p>
    <w:p>
      <w:pPr>
        <w:pStyle w:val="ListNumber"/>
      </w:pPr>
      <w:r>
        <w:t>Partner Administration</w:t>
      </w:r>
    </w:p>
    <w:p>
      <w:pPr>
        <w:pStyle w:val="ListNumber"/>
      </w:pPr>
      <w:r>
        <w:t>Client Studio / Manager Studio / Sales Studio</w:t>
      </w:r>
    </w:p>
    <w:p>
      <w:pPr>
        <w:pStyle w:val="Heading1"/>
      </w:pPr>
      <w:r>
        <w:t>5A. Commercial Journey v1.0 (partner purchase)</w:t>
      </w:r>
    </w:p>
    <w:p>
      <w:r>
        <w:t>Partnerova obchodní cesta (produkční preview v Office Working Terminal). Není totéž jako Office Pilot Journey (OF-06) ani PE Partner Journey spine.</w:t>
      </w:r>
    </w:p>
    <w:p>
      <w:pPr>
        <w:pStyle w:val="ListNumber"/>
      </w:pPr>
      <w:r>
        <w:t>Vítejte</w:t>
      </w:r>
    </w:p>
    <w:p>
      <w:pPr>
        <w:pStyle w:val="ListNumber"/>
      </w:pPr>
      <w:r>
        <w:t>Pilotní program</w:t>
      </w:r>
    </w:p>
    <w:p>
      <w:pPr>
        <w:pStyle w:val="ListNumber"/>
      </w:pPr>
      <w:r>
        <w:t>Dokončit objednávku</w:t>
      </w:r>
    </w:p>
    <w:p>
      <w:pPr>
        <w:pStyle w:val="ListNumber"/>
      </w:pPr>
      <w:r>
        <w:t>Platba</w:t>
      </w:r>
    </w:p>
    <w:p>
      <w:pPr>
        <w:pStyle w:val="ListNumber"/>
      </w:pPr>
      <w:r>
        <w:t>CONIS Studio</w:t>
      </w:r>
    </w:p>
    <w:p>
      <w:r>
        <w:t>Commits: PT-CJ-00…PT-CJ-04 closed through 7c26352. Inventory: docs/architecture/office/COMMERCIAL-JOURNEY-IMPLEMENTATION-INVENTORY-v1.0.md</w:t>
      </w:r>
    </w:p>
    <w:p>
      <w:pPr>
        <w:pStyle w:val="Heading1"/>
      </w:pPr>
      <w:r>
        <w:t>6. Architektonická kontrola</w:t>
      </w:r>
    </w:p>
    <w:p>
      <w:pPr>
        <w:pStyle w:val="ListBullet"/>
      </w:pPr>
      <w:r>
        <w:t>Office ≠ Builder ≠ Partner Environment ≠ Runtime — PASS</w:t>
      </w:r>
    </w:p>
    <w:p>
      <w:pPr>
        <w:pStyle w:val="ListBullet"/>
      </w:pPr>
      <w:r>
        <w:t>Commercial Journey ≠ Office Pilot Journey (OF-06) ≠ PE Partner Journey — PASS</w:t>
      </w:r>
    </w:p>
    <w:p>
      <w:pPr>
        <w:pStyle w:val="ListBullet"/>
      </w:pPr>
      <w:r>
        <w:t>Office neobsahuje Decision Layer / Runtime business logiku.</w:t>
      </w:r>
    </w:p>
    <w:p>
      <w:pPr>
        <w:pStyle w:val="ListBullet"/>
      </w:pPr>
      <w:r>
        <w:t>Další EPICy pouze append-only; historie a číslování v1.0 jsou immutable.</w:t>
      </w:r>
    </w:p>
    <w:p>
      <w:pPr>
        <w:pStyle w:val="Heading1"/>
      </w:pPr>
      <w:r>
        <w:t>7. Další kroky</w:t>
      </w:r>
    </w:p>
    <w:p>
      <w:pPr>
        <w:pStyle w:val="ListNumber"/>
      </w:pPr>
      <w:r>
        <w:t>Uzavřít Product Review Commercial Journey v1.0 (PT-CJ-05) a připravit první pilotní obchod.</w:t>
      </w:r>
    </w:p>
    <w:p>
      <w:pPr>
        <w:pStyle w:val="ListNumber"/>
      </w:pPr>
      <w:r>
        <w:t>Provozovat Office Studio v1.0 a Partner Environment u pilotních partnerů.</w:t>
      </w:r>
    </w:p>
    <w:p>
      <w:pPr>
        <w:pStyle w:val="ListNumber"/>
      </w:pPr>
      <w:r>
        <w:t>Sbírat feedback do Pilot Feedback Register (NEW → … → VALIDATED).</w:t>
      </w:r>
    </w:p>
    <w:p>
      <w:pPr>
        <w:pStyle w:val="ListNumber"/>
      </w:pPr>
      <w:r>
        <w:t>Uzavřít Welcome Experience pod novým append-only epic ID.</w:t>
      </w:r>
    </w:p>
    <w:p>
      <w:pPr>
        <w:pStyle w:val="ListNumber"/>
      </w:pPr>
      <w:r>
        <w:t>OF-08 neotevírat bez explicitního PT.</w:t>
      </w:r>
    </w:p>
    <w:p>
      <w:pPr>
        <w:pStyle w:val="ListNumber"/>
      </w:pPr>
      <w:r>
        <w:t>Sestavit Roadmap v1.1 pouze z VALIDATED položek / produktových rozhodnutí.</w:t>
      </w:r>
    </w:p>
    <w:p>
      <w:pPr>
        <w:pStyle w:val="Heading1"/>
      </w:pPr>
      <w:r>
        <w:t>8. Baseline</w:t>
      </w:r>
    </w:p>
    <w:p>
      <w:r>
        <w:t>OFFICE BASELINE v1.0 — FROZEN.</w:t>
      </w:r>
    </w:p>
    <w:p>
      <w:r>
        <w:t>Office Studio v1.0 je schválený kanonický implementační baseline.</w:t>
      </w:r>
    </w:p>
    <w:p>
      <w:r>
        <w:t>Referenční dokumentace: docs/architecture/office/OFFICE-ROADMAP-v2.0.md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