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Inter" w:hAnsi="Inter" w:eastAsia="Inter"/>
          <w:b/>
          <w:i w:val="0"/>
          <w:color w:val="001B33"/>
          <w:sz w:val="41"/>
        </w:rPr>
        <w:t>DOHODA O MLČENLIVOSTI (NDA)</w:t>
      </w:r>
    </w:p>
    <w:p>
      <w:pPr>
        <w:spacing w:after="140"/>
      </w:pPr>
      <w:r>
        <w:rPr>
          <w:rFonts w:ascii="Inter" w:hAnsi="Inter" w:eastAsia="Inter"/>
          <w:b w:val="0"/>
          <w:i w:val="0"/>
          <w:color w:val="656D78"/>
          <w:sz w:val="19"/>
        </w:rPr>
        <w:t>pro partnerský a pilotní přístup do CONIS Studio</w:t>
      </w:r>
    </w:p>
    <w:p>
      <w:pPr>
        <w:spacing w:after="100"/>
      </w:pPr>
      <w:r>
        <w:rPr>
          <w:rFonts w:ascii="Inter" w:hAnsi="Inter" w:eastAsia="Inter"/>
          <w:b/>
          <w:i w:val="0"/>
          <w:color w:val="001B33"/>
          <w:sz w:val="20"/>
        </w:rPr>
        <w:t xml:space="preserve">Poskytovatel: </w:t>
      </w:r>
      <w:r>
        <w:rPr>
          <w:rFonts w:ascii="Inter" w:hAnsi="Inter" w:eastAsia="Inter"/>
          <w:b w:val="0"/>
          <w:i w:val="0"/>
          <w:color w:val="001B33"/>
          <w:sz w:val="20"/>
        </w:rPr>
        <w:t>Radim Věntus, IČO 62288474, Stratilova 2, 746 01 Opava (dále jen „CONIS“).</w:t>
      </w:r>
    </w:p>
    <w:p>
      <w:pPr>
        <w:spacing w:after="160"/>
      </w:pPr>
      <w:r>
        <w:rPr>
          <w:rFonts w:ascii="Inter" w:hAnsi="Inter" w:eastAsia="Inter"/>
          <w:b/>
          <w:i w:val="0"/>
          <w:color w:val="001B33"/>
          <w:sz w:val="20"/>
        </w:rPr>
        <w:t xml:space="preserve">Příjemce: </w:t>
      </w:r>
      <w:r>
        <w:rPr>
          <w:rFonts w:ascii="Inter" w:hAnsi="Inter" w:eastAsia="Inter"/>
          <w:b w:val="0"/>
          <w:i w:val="0"/>
          <w:color w:val="001B33"/>
          <w:sz w:val="20"/>
        </w:rPr>
        <w:t>osoba nebo společnost aktivující partnerský účet CONIS prostřednictvím pozvánky / magic linku.</w:t>
      </w:r>
    </w:p>
    <w:p>
      <w:pPr>
        <w:keepNext/>
        <w:spacing w:before="70" w:after="20"/>
      </w:pPr>
      <w:r>
        <w:rPr>
          <w:rFonts w:ascii="Inter" w:hAnsi="Inter" w:eastAsia="Inter"/>
          <w:b/>
          <w:i w:val="0"/>
          <w:color w:val="001B33"/>
          <w:sz w:val="20"/>
        </w:rPr>
        <w:t>1. Důvěrné informace</w:t>
      </w:r>
    </w:p>
    <w:p>
      <w:pPr>
        <w:keepLines/>
        <w:spacing w:after="70"/>
      </w:pPr>
      <w:r>
        <w:rPr>
          <w:rFonts w:ascii="Inter" w:hAnsi="Inter" w:eastAsia="Inter"/>
          <w:b w:val="0"/>
          <w:i w:val="0"/>
          <w:color w:val="001B33"/>
          <w:sz w:val="19"/>
        </w:rPr>
        <w:t>Důvěrné jsou neveřejné informace zpřístupněné v souvislosti s CONIS, zejména informace o produktu, obchodním modelu, cenách, know-how, technickém řešení, datech, dokumentaci a připravovaných funkcích.</w:t>
      </w:r>
    </w:p>
    <w:p>
      <w:pPr>
        <w:keepNext/>
        <w:spacing w:before="70" w:after="20"/>
      </w:pPr>
      <w:r>
        <w:rPr>
          <w:rFonts w:ascii="Inter" w:hAnsi="Inter" w:eastAsia="Inter"/>
          <w:b/>
          <w:i w:val="0"/>
          <w:color w:val="001B33"/>
          <w:sz w:val="20"/>
        </w:rPr>
        <w:t>2. Mlčenlivost</w:t>
      </w:r>
    </w:p>
    <w:p>
      <w:pPr>
        <w:keepLines/>
        <w:spacing w:after="70"/>
      </w:pPr>
      <w:r>
        <w:rPr>
          <w:rFonts w:ascii="Inter" w:hAnsi="Inter" w:eastAsia="Inter"/>
          <w:b w:val="0"/>
          <w:i w:val="0"/>
          <w:color w:val="001B33"/>
          <w:sz w:val="19"/>
        </w:rPr>
        <w:t>Příjemce použije důvěrné informace pouze pro jednání, pilot a spolupráci s CONIS. Bez souhlasu CONIS je nezveřejní ani nepředá třetím osobám; sdílet je může jen se členy svého týmu, kteří je potřebují znát a jsou vázáni stejnou povinností.</w:t>
      </w:r>
    </w:p>
    <w:p>
      <w:pPr>
        <w:keepNext/>
        <w:spacing w:before="70" w:after="20"/>
      </w:pPr>
      <w:r>
        <w:rPr>
          <w:rFonts w:ascii="Inter" w:hAnsi="Inter" w:eastAsia="Inter"/>
          <w:b/>
          <w:i w:val="0"/>
          <w:color w:val="001B33"/>
          <w:sz w:val="20"/>
        </w:rPr>
        <w:t>3. Výjimky</w:t>
      </w:r>
    </w:p>
    <w:p>
      <w:pPr>
        <w:keepLines/>
        <w:spacing w:after="70"/>
      </w:pPr>
      <w:r>
        <w:rPr>
          <w:rFonts w:ascii="Inter" w:hAnsi="Inter" w:eastAsia="Inter"/>
          <w:b w:val="0"/>
          <w:i w:val="0"/>
          <w:color w:val="001B33"/>
          <w:sz w:val="19"/>
        </w:rPr>
        <w:t>Povinnost se nevztahuje na informace veřejné, prokazatelně známé před jejich zpřístupněním, oprávněně získané nezávisle nebo povinně poskytované podle zákona či rozhodnutí orgánu veřejné moci.</w:t>
      </w:r>
    </w:p>
    <w:p>
      <w:pPr>
        <w:keepNext/>
        <w:spacing w:before="70" w:after="20"/>
      </w:pPr>
      <w:r>
        <w:rPr>
          <w:rFonts w:ascii="Inter" w:hAnsi="Inter" w:eastAsia="Inter"/>
          <w:b/>
          <w:i w:val="0"/>
          <w:color w:val="001B33"/>
          <w:sz w:val="20"/>
        </w:rPr>
        <w:t>4. Trvání, ochrana a přijetí</w:t>
      </w:r>
    </w:p>
    <w:p>
      <w:pPr>
        <w:keepLines/>
        <w:spacing w:after="70"/>
      </w:pPr>
      <w:r>
        <w:rPr>
          <w:rFonts w:ascii="Inter" w:hAnsi="Inter" w:eastAsia="Inter"/>
          <w:b w:val="0"/>
          <w:i w:val="0"/>
          <w:color w:val="001B33"/>
          <w:sz w:val="19"/>
        </w:rPr>
        <w:t>Mlčenlivost trvá, dokud informace zůstávají neveřejné; u obchodního tajemství po dobu naplnění znaků § 504 občanského zákoníku. Smluvní pokuta se nesjednává. Zůstávají zachovány zákonné nároky, zejména podle § 1730 odst. 2, § 2913, § 2985 a § 2988 zákona č. 89/2012 Sb. Dohoda je přijata elektronicky při aktivaci účtu; systém zaznamená účet a čas přijetí.</w:t>
      </w:r>
    </w:p>
    <w:p>
      <w:pPr>
        <w:spacing w:before="80"/>
      </w:pPr>
      <w:r>
        <w:rPr>
          <w:rFonts w:ascii="Inter" w:hAnsi="Inter" w:eastAsia="Inter"/>
          <w:b/>
          <w:i w:val="0"/>
          <w:color w:val="C6A15B"/>
          <w:sz w:val="18"/>
        </w:rPr>
        <w:t>Rozhodné právo: Česká republika.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247" w:bottom="964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eastAsia="Inter"/>
        <w:b w:val="0"/>
        <w:i w:val="0"/>
        <w:color w:val="656D78"/>
        <w:sz w:val="15"/>
      </w:rPr>
      <w:t>NDA CONIS • verze 1.0 • účinná od 21. 9.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4" w:space="6" w:color="C6A15B"/>
      </w:pBdr>
    </w:pPr>
    <w:r>
      <w:rPr>
        <w:rFonts w:ascii="Inter" w:hAnsi="Inter" w:eastAsia="Inter"/>
        <w:b/>
        <w:i w:val="0"/>
        <w:color w:val="001B33"/>
        <w:sz w:val="21"/>
      </w:rPr>
      <w:t>CONIS</w:t>
    </w:r>
    <w:r>
      <w:rPr>
        <w:rFonts w:ascii="Inter" w:hAnsi="Inter" w:eastAsia="Inter"/>
        <w:b w:val="0"/>
        <w:i w:val="0"/>
        <w:color w:val="656D78"/>
        <w:sz w:val="16"/>
      </w:rPr>
      <w:t xml:space="preserve">   •   www.conis.cz   •   kontakt@conis.cz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Inter" w:hAnsi="Inter"/>
      <w:color w:val="001B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