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E5CBD" w14:textId="77777777" w:rsidR="00DE0C0A" w:rsidRDefault="00DE0C0A" w:rsidP="00C14300">
      <w:r>
        <w:t>Method:</w:t>
      </w:r>
    </w:p>
    <w:p w14:paraId="38287A8F" w14:textId="4DD7CF13" w:rsidR="00A93B93" w:rsidRDefault="00D9082C" w:rsidP="00C14300">
      <w:r>
        <w:t xml:space="preserve">First 12nt of sequences were trimmed from SE-RNAseq reads, and first 14nt were trimmed from PE-RNAseq reads. Then trimmed </w:t>
      </w:r>
      <w:r w:rsidR="00E23EAA">
        <w:t>reads were mapped to 175 sequences of transposon elements</w:t>
      </w:r>
      <w:r w:rsidR="00FB157B">
        <w:t xml:space="preserve"> (TE, </w:t>
      </w:r>
      <w:r w:rsidR="00E23EAA">
        <w:t>dm6.transposon.fa) with bowtie2</w:t>
      </w:r>
      <w:r w:rsidR="00E23EAA">
        <w:fldChar w:fldCharType="begin" w:fldLock="1"/>
      </w:r>
      <w:r w:rsidR="00E23EAA">
        <w:instrText>ADDIN CSL_CITATION {"citationItems":[{"id":"ITEM-1","itemData":{"DOI":"10.1038/nmeth.1923.Fast","ISSN":"1548-7091","PMID":"22388286","abstract":"As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accuracy.","author":[{"dropping-particle":"","family":"Langmead","given":"","non-dropping-particle":"","parse-names":false,"suffix":""}],"container-title":"Nature methods","id":"ITEM-1","issued":{"date-parts":[["2013"]]},"title":"Bowtie2","type":"article"},"uris":["http://www.mendeley.com/documents/?uuid=b1a81d82-d29c-4e3c-815e-a072233fcc91"]}],"mendeley":{"formattedCitation":"&lt;sup&gt;1&lt;/sup&gt;","plainTextFormattedCitation":"1","previouslyFormattedCitation":"&lt;sup&gt;1&lt;/sup&gt;"},"properties":{"noteIndex":0},"schema":"https://github.com/citation-style-language/schema/raw/master/csl-citation.json"}</w:instrText>
      </w:r>
      <w:r w:rsidR="00E23EAA">
        <w:fldChar w:fldCharType="separate"/>
      </w:r>
      <w:r w:rsidR="00E23EAA" w:rsidRPr="00E23EAA">
        <w:rPr>
          <w:noProof/>
          <w:vertAlign w:val="superscript"/>
        </w:rPr>
        <w:t>1</w:t>
      </w:r>
      <w:r w:rsidR="00E23EAA">
        <w:fldChar w:fldCharType="end"/>
      </w:r>
      <w:r w:rsidR="00E23EAA">
        <w:t xml:space="preserve"> (parameters</w:t>
      </w:r>
      <w:r w:rsidR="00E23EAA">
        <w:rPr>
          <w:rFonts w:ascii="Times New Roman" w:eastAsia="Times New Roman" w:hAnsi="Times New Roman" w:cs="Times New Roman"/>
        </w:rPr>
        <w:t xml:space="preserve">: </w:t>
      </w:r>
      <w:r w:rsidR="00E23EAA" w:rsidRPr="00E23EAA">
        <w:rPr>
          <w:rFonts w:ascii="Times New Roman" w:eastAsia="Times New Roman" w:hAnsi="Times New Roman" w:cs="Times New Roman"/>
        </w:rPr>
        <w:t>-D 20 -R 3 -N 1 -L 20 -i S,1,0.50 --local -k 1 --seed 1</w:t>
      </w:r>
      <w:r w:rsidR="00E23EAA">
        <w:t>), which allows multiple mapping, and randomly assigned multiple mapped reads to one of the best matches</w:t>
      </w:r>
      <w:r w:rsidR="00E23EAA">
        <w:fldChar w:fldCharType="begin" w:fldLock="1"/>
      </w:r>
      <w:r w:rsidR="00E23EAA">
        <w:instrText>ADDIN CSL_CITATION {"citationItems":[{"id":"ITEM-1","itemData":{"DOI":"10.1093/nar/gkw953","ISSN":"13624962","abstract":"Over recent decades, substantial efforts have been made to understand the interactions between host genomes and transposable elements (TEs). The im-pact of TEs on the regulation of host genes is well known, with TEs acting as platforms of regulatory sequences. Nevertheless, due to their repetitive na-ture it is considerably hard to integrate TE analysis into genome-wide studies. Here, we developed a spe-cific tool for the analysis of TE expression: TEtools. This tool takes into account the TE sequence diver-sity of the genome, it can be applied to unannotated or unassembled genomes and is freely available un-der the GPL3 (https://github.com/l-modolo/TEtools). TEtools performs the mapping of RNA-seq data ob-tained from classical mRNAs or small RNAs onto a list of TE sequences and performs differential expression analyses with statistical relevance. Us-ing this tool, we analyzed TE expression from five Drosophila wild-type strains. Our data show for the first time that the activity of TEs is strictly linked to the activity of the genes implicated in the piwi-interacting RNA biogenesis and therefore fits an arms race scenario between TE sequences and host control genes.","author":[{"dropping-particle":"","family":"Lerat","given":"Emmanuelle","non-dropping-particle":"","parse-names":false,"suffix":""},{"dropping-particle":"","family":"Fablet","given":"Marie","non-dropping-particle":"","parse-names":false,"suffix":""},{"dropping-particle":"","family":"Modolo","given":"Laurent","non-dropping-particle":"","parse-names":false,"suffix":""},{"dropping-particle":"","family":"Lopez-Maestre","given":"Hélène","non-dropping-particle":"","parse-names":false,"suffix":""},{"dropping-particle":"","family":"Vieira","given":"Cristina","non-dropping-particle":"","parse-names":false,"suffix":""}],"container-title":"Nucleic acids research","id":"ITEM-1","issued":{"date-parts":[["2017"]]},"title":"TEtools facilitates big data expression analysis of transposable elements and reveals an antagonism between their activity and that of piRNA genes","type":"article-journal"},"uris":["http://www.mendeley.com/documents/?uuid=e3746533-6e69-4105-835d-5dca9509047a"]}],"mendeley":{"formattedCitation":"&lt;sup&gt;2&lt;/sup&gt;","plainTextFormattedCitation":"2","previouslyFormattedCitation":"&lt;sup&gt;2&lt;/sup&gt;"},"properties":{"noteIndex":0},"schema":"https://github.com/citation-style-language/schema/raw/master/csl-citation.json"}</w:instrText>
      </w:r>
      <w:r w:rsidR="00E23EAA">
        <w:fldChar w:fldCharType="separate"/>
      </w:r>
      <w:r w:rsidR="00E23EAA" w:rsidRPr="00E23EAA">
        <w:rPr>
          <w:noProof/>
          <w:vertAlign w:val="superscript"/>
        </w:rPr>
        <w:t>2</w:t>
      </w:r>
      <w:r w:rsidR="00E23EAA">
        <w:fldChar w:fldCharType="end"/>
      </w:r>
      <w:r w:rsidR="00E23EAA">
        <w:t>. Then mapping results were quantified with featureCounts</w:t>
      </w:r>
      <w:r w:rsidR="00E23EAA">
        <w:fldChar w:fldCharType="begin" w:fldLock="1"/>
      </w:r>
      <w:r w:rsidR="00E23EAA">
        <w:instrText>ADDIN CSL_CITATION {"citationItems":[{"id":"ITEM-1","itemData":{"DOI":"10.1093/bioinformatics/btt656","ISBN":"1367-4803","ISSN":"14602059","PMID":"24227677","abstract":"Next-generation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 featureCounts is available under GNU General Public License as part of the Subread (http://subread.sourceforge.net) or Rsubread (http://www.bioconductor.org) software packages.","author":[{"dropping-particle":"","family":"Liao","given":"Yang","non-dropping-particle":"","parse-names":false,"suffix":""},{"dropping-particle":"","family":"Smyth","given":"Gordon K.","non-dropping-particle":"","parse-names":false,"suffix":""},{"dropping-particle":"","family":"Shi","given":"Wei","non-dropping-particle":"","parse-names":false,"suffix":""}],"container-title":"Bioinformatics","id":"ITEM-1","issued":{"date-parts":[["2014"]]},"title":"FeatureCounts: An efficient general purpose program for assigning sequence reads to genomic features","type":"article-journal"},"uris":["http://www.mendeley.com/documents/?uuid=5c441aff-a15a-4478-8eb7-ff71527829cc"]}],"mendeley":{"formattedCitation":"&lt;sup&gt;3&lt;/sup&gt;","plainTextFormattedCitation":"3","previouslyFormattedCitation":"&lt;sup&gt;3&lt;/sup&gt;"},"properties":{"noteIndex":0},"schema":"https://github.com/citation-style-language/schema/raw/master/csl-citation.json"}</w:instrText>
      </w:r>
      <w:r w:rsidR="00E23EAA">
        <w:fldChar w:fldCharType="separate"/>
      </w:r>
      <w:r w:rsidR="00E23EAA" w:rsidRPr="00E23EAA">
        <w:rPr>
          <w:noProof/>
          <w:vertAlign w:val="superscript"/>
        </w:rPr>
        <w:t>3</w:t>
      </w:r>
      <w:r w:rsidR="00E23EAA">
        <w:fldChar w:fldCharType="end"/>
      </w:r>
      <w:r w:rsidR="00E23EAA">
        <w:t xml:space="preserve">. </w:t>
      </w:r>
      <w:r w:rsidR="00B76E3D">
        <w:t xml:space="preserve">Expression quantification of TE were combined with the count table of regular </w:t>
      </w:r>
      <w:r w:rsidR="00814D29">
        <w:t xml:space="preserve">genes in </w:t>
      </w:r>
      <w:r w:rsidR="00B76E3D">
        <w:t>RNAseq</w:t>
      </w:r>
      <w:r w:rsidR="00814D29">
        <w:t xml:space="preserve"> data analysis</w:t>
      </w:r>
      <w:r w:rsidR="006222D5">
        <w:t xml:space="preserve"> </w:t>
      </w:r>
      <w:r w:rsidR="006222D5" w:rsidRPr="003862A3">
        <w:rPr>
          <w:color w:val="70AD47" w:themeColor="accent6"/>
        </w:rPr>
        <w:t>for more robust normalization</w:t>
      </w:r>
      <w:r w:rsidR="00B76E3D">
        <w:t xml:space="preserve">. </w:t>
      </w:r>
      <w:r w:rsidR="00E23EAA">
        <w:t xml:space="preserve">Differential expression (DE) analysis was performed with </w:t>
      </w:r>
      <w:r w:rsidR="00E23EAA" w:rsidRPr="00E97890">
        <w:t xml:space="preserve"> DESeq2</w:t>
      </w:r>
      <w:r w:rsidR="00E23EAA">
        <w:fldChar w:fldCharType="begin" w:fldLock="1"/>
      </w:r>
      <w:r w:rsidR="00E23EAA">
        <w:instrText>ADDIN CSL_CITATION {"citationItems":[{"id":"ITEM-1","itemData":{"DOI":"10.1186/s13059-014-0550-8","ISBN":"1465-6906","ISSN":"1474760X","PMID":"25516281","abstract":"In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Biology","id":"ITEM-1","issued":{"date-parts":[["2014"]]},"title":"Moderated estimation of fold change and dispersion for RNA-seq data with DESeq2","type":"article-journal"},"uris":["http://www.mendeley.com/documents/?uuid=705902c6-8d72-45ec-9269-07adaf166e82"]}],"mendeley":{"formattedCitation":"&lt;sup&gt;4&lt;/sup&gt;","plainTextFormattedCitation":"4","previouslyFormattedCitation":"&lt;sup&gt;4&lt;/sup&gt;"},"properties":{"noteIndex":0},"schema":"https://github.com/citation-style-language/schema/raw/master/csl-citation.json"}</w:instrText>
      </w:r>
      <w:r w:rsidR="00E23EAA">
        <w:fldChar w:fldCharType="separate"/>
      </w:r>
      <w:r w:rsidR="00E23EAA" w:rsidRPr="00F538B1">
        <w:rPr>
          <w:noProof/>
          <w:vertAlign w:val="superscript"/>
        </w:rPr>
        <w:t>4</w:t>
      </w:r>
      <w:r w:rsidR="00E23EAA">
        <w:fldChar w:fldCharType="end"/>
      </w:r>
      <w:r w:rsidR="00E23EAA">
        <w:t xml:space="preserve">. Within DE analysis, </w:t>
      </w:r>
      <w:r w:rsidR="00E23EAA" w:rsidRPr="00CA1A15">
        <w:t>'ashr'</w:t>
      </w:r>
      <w:r w:rsidR="00E23EAA">
        <w:t xml:space="preserve"> was used to create log2FoldChange (LFC)</w:t>
      </w:r>
      <w:r w:rsidR="00E23EAA" w:rsidRPr="00CA1A15">
        <w:t xml:space="preserve"> shrinkage</w:t>
      </w:r>
      <w:r w:rsidR="00E23EAA">
        <w:t xml:space="preserve"> for each comparison</w:t>
      </w:r>
      <w:r w:rsidR="00E23EAA">
        <w:fldChar w:fldCharType="begin" w:fldLock="1"/>
      </w:r>
      <w:r w:rsidR="00E23EAA">
        <w:instrText>ADDIN CSL_CITATION {"citationItems":[{"id":"ITEM-1","itemData":{"DOI":"10.1093/biostatistics/kxw041","ISBN":"1465-4644","PMID":"27756721","abstract":"We introduce a new Empirical Bayes approach for large-scale hypothesis testing, including estimating false discovery rates (FDRs), and effect sizes. This approach has two key differences from existing approaches to FDR analysis. First, it assumes that the distribution of the actual (unobserved) effects is unimodal, with a mode at 0. This \"unimodal assumption\" (UA), although natural in many contexts, is not usually incorporated into standard FDR analysis, and we demonstrate how incorporating it brings many benefits. Specifically, the UA facilitates efficient and robust computation-estimating the unimodal distribution involves solving a simple convex optimization problem-and enables more accurate inferences provided that it holds. Second, the method takes as its input two numbers for each test (an effect size estimate and corresponding standard error), rather than the one number usually used ($p$ value or $z$ score). When available, using two numbers instead of one helps account for variation in measurement precision across tests. It also facilitates estimation of effects, and unlike standard FDR methods, our approach provides interval estimates (credible regions) for each effect in addition to measures of significance. To provide a bridge between interval estimates and significance measures, we introduce the term \"local false sign rate\" to refer to the probability of getting the sign of an effect wrong and argue that it is a superior measure of significance than the local FDR because it is both more generally applicable and can be more robustly estimated. Our methods are implemented in an R package ashr available from http://github.com/stephens999/ashr.","author":[{"dropping-particle":"","family":"Stephens","given":"M","non-dropping-particle":"","parse-names":false,"suffix":""}],"container-title":"Biostatistics","id":"ITEM-1","issued":{"date-parts":[["2017"]]},"title":"False discovery rates: a new deal","type":"article-journal"},"uris":["http://www.mendeley.com/documents/?uuid=80bb560c-bfc7-4ece-bf9c-1ffb752332dc"]}],"mendeley":{"formattedCitation":"&lt;sup&gt;5&lt;/sup&gt;","plainTextFormattedCitation":"5","previouslyFormattedCitation":"&lt;sup&gt;5&lt;/sup&gt;"},"properties":{"noteIndex":0},"schema":"https://github.com/citation-style-language/schema/raw/master/csl-citation.json"}</w:instrText>
      </w:r>
      <w:r w:rsidR="00E23EAA">
        <w:fldChar w:fldCharType="separate"/>
      </w:r>
      <w:r w:rsidR="00E23EAA" w:rsidRPr="00F538B1">
        <w:rPr>
          <w:noProof/>
          <w:vertAlign w:val="superscript"/>
        </w:rPr>
        <w:t>5</w:t>
      </w:r>
      <w:r w:rsidR="00E23EAA">
        <w:fldChar w:fldCharType="end"/>
      </w:r>
      <w:r w:rsidR="00E23EAA">
        <w:t xml:space="preserve">. Significant DE </w:t>
      </w:r>
      <w:r w:rsidR="00DE0C0A">
        <w:t>TE</w:t>
      </w:r>
      <w:r w:rsidR="00E23EAA">
        <w:t xml:space="preserve"> were filtered with the criteria FDR &lt; 0.05 and |LFC| &gt; 1.  </w:t>
      </w:r>
      <w:r w:rsidR="000D0F81">
        <w:t>The h</w:t>
      </w:r>
      <w:r w:rsidR="00E23EAA">
        <w:t xml:space="preserve">eatmap </w:t>
      </w:r>
      <w:r w:rsidR="000D0F81">
        <w:t>was</w:t>
      </w:r>
      <w:r w:rsidR="00E23EAA">
        <w:t xml:space="preserve"> created with ComplexHeatmap</w:t>
      </w:r>
      <w:r w:rsidR="00E23EAA">
        <w:fldChar w:fldCharType="begin" w:fldLock="1"/>
      </w:r>
      <w:r w:rsidR="00E23EAA">
        <w:instrText>ADDIN CSL_CITATION {"citationItems":[{"id":"ITEM-1","itemData":{"DOI":"10.1093/bioinformatics/btw313","ISSN":"14602059","abstract":"© 2016 The Author. Published by Oxford University Press. All rights reserved. Parallel heatmaps with carefully designed annotation graphics are powerful for efficient visualization of patterns and relationships among high dimensional genomic data. Here we present the ComplexHeatmap package that provides rich functionalities for customizing heatmaps, arranging multiple parallel heatmaps and including user-defined annotation graphics. We demonstrate the power of ComplexHeatmap to easily reveal patterns and correlations among multiple sources of information with four real-world datasets.","author":[{"dropping-particle":"","family":"Gu","given":"Zuguang","non-dropping-particle":"","parse-names":false,"suffix":""},{"dropping-particle":"","family":"Eils","given":"Roland","non-dropping-particle":"","parse-names":false,"suffix":""},{"dropping-particle":"","family":"Schlesner","given":"Matthias","non-dropping-particle":"","parse-names":false,"suffix":""}],"container-title":"Bioinformatics","id":"ITEM-1","issued":{"date-parts":[["2016"]]},"title":"Complex heatmaps reveal patterns and correlations in multidimensional genomic data","type":"article-journal"},"uris":["http://www.mendeley.com/documents/?uuid=df288af6-b059-4c16-ab43-437b92407451"]}],"mendeley":{"formattedCitation":"&lt;sup&gt;6&lt;/sup&gt;","plainTextFormattedCitation":"6","previouslyFormattedCitation":"&lt;sup&gt;6&lt;/sup&gt;"},"properties":{"noteIndex":0},"schema":"https://github.com/citation-style-language/schema/raw/master/csl-citation.json"}</w:instrText>
      </w:r>
      <w:r w:rsidR="00E23EAA">
        <w:fldChar w:fldCharType="separate"/>
      </w:r>
      <w:r w:rsidR="00E23EAA" w:rsidRPr="00565B20">
        <w:rPr>
          <w:noProof/>
          <w:vertAlign w:val="superscript"/>
        </w:rPr>
        <w:t>6</w:t>
      </w:r>
      <w:r w:rsidR="00E23EAA">
        <w:fldChar w:fldCharType="end"/>
      </w:r>
      <w:r w:rsidR="00E23EAA">
        <w:t>.</w:t>
      </w:r>
    </w:p>
    <w:p w14:paraId="3267CBF8" w14:textId="3688CADA" w:rsidR="00E23EAA" w:rsidRDefault="00E23EAA" w:rsidP="00C14300"/>
    <w:p w14:paraId="38DAE157" w14:textId="0DF235D1" w:rsidR="00DE0C0A" w:rsidRDefault="00DE0C0A" w:rsidP="00C14300">
      <w:r>
        <w:t>Result</w:t>
      </w:r>
      <w:r w:rsidR="00FB157B">
        <w:t>s</w:t>
      </w:r>
      <w:r>
        <w:t>:</w:t>
      </w:r>
    </w:p>
    <w:p w14:paraId="35453C3D" w14:textId="6DDFA0CB" w:rsidR="00AF4438" w:rsidRDefault="00DE0C0A" w:rsidP="00C14300">
      <w:r>
        <w:t xml:space="preserve">After expression quantification, 159 out of the 175 TE were detected in RNAseq data. In comparison between DelMut and FRT19A, </w:t>
      </w:r>
      <w:r w:rsidR="00C932DF">
        <w:t>9</w:t>
      </w:r>
      <w:r w:rsidR="00B108F7">
        <w:t>1</w:t>
      </w:r>
      <w:r>
        <w:t xml:space="preserve"> out of the 159 detected TE were differentially </w:t>
      </w:r>
      <w:r w:rsidR="00301346">
        <w:t>expressed</w:t>
      </w:r>
      <w:r>
        <w:t>.</w:t>
      </w:r>
      <w:r w:rsidR="00301346">
        <w:t xml:space="preserve"> </w:t>
      </w:r>
      <w:r>
        <w:t xml:space="preserve"> </w:t>
      </w:r>
    </w:p>
    <w:p w14:paraId="1996B836" w14:textId="77777777" w:rsidR="00DE0C0A" w:rsidRDefault="00DE0C0A" w:rsidP="00C14300"/>
    <w:p w14:paraId="160B94F8" w14:textId="3B2DB421" w:rsidR="00DE0C0A" w:rsidRDefault="00DE0C0A" w:rsidP="00C14300">
      <w:r>
        <w:t xml:space="preserve">TE: </w:t>
      </w:r>
      <w:r w:rsidR="00C74EDF">
        <w:t>T</w:t>
      </w:r>
      <w:r>
        <w:t xml:space="preserve">ransposon </w:t>
      </w:r>
      <w:r w:rsidR="00C74EDF">
        <w:t>E</w:t>
      </w:r>
      <w:r>
        <w:t xml:space="preserve">lement </w:t>
      </w:r>
    </w:p>
    <w:p w14:paraId="141CFBA6" w14:textId="10E790C0" w:rsidR="00DE0C0A" w:rsidRDefault="00DE0C0A" w:rsidP="00C14300">
      <w:r>
        <w:t xml:space="preserve">DE: Differentially Expressed </w:t>
      </w:r>
    </w:p>
    <w:p w14:paraId="1EA8DCA2" w14:textId="37664716" w:rsidR="00DE0C0A" w:rsidRDefault="00DE0C0A" w:rsidP="00C14300">
      <w:r>
        <w:t>LFC: log2FoldChange</w:t>
      </w:r>
    </w:p>
    <w:p w14:paraId="69C1E2AB" w14:textId="6A3835BD" w:rsidR="00DE0C0A" w:rsidRDefault="00DE0C0A" w:rsidP="00C14300">
      <w:r>
        <w:t xml:space="preserve">FDR: False Discovery </w:t>
      </w:r>
      <w:r w:rsidR="00C74EDF">
        <w:t>R</w:t>
      </w:r>
      <w:r>
        <w:t xml:space="preserve">ate. </w:t>
      </w:r>
    </w:p>
    <w:p w14:paraId="097288A0" w14:textId="77777777" w:rsidR="00AF4438" w:rsidRDefault="00AF4438" w:rsidP="00C14300"/>
    <w:p w14:paraId="0DCA0EF0" w14:textId="1BABBC2C" w:rsidR="00E23EAA" w:rsidRDefault="00E23EAA" w:rsidP="00C14300"/>
    <w:p w14:paraId="0096D75C" w14:textId="56849577" w:rsidR="00FE00F5" w:rsidRPr="00FE00F5" w:rsidRDefault="00E23EAA" w:rsidP="00FE00F5">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00FE00F5" w:rsidRPr="00FE00F5">
        <w:rPr>
          <w:rFonts w:ascii="Calibri" w:hAnsi="Calibri" w:cs="Calibri"/>
          <w:noProof/>
        </w:rPr>
        <w:t>1.</w:t>
      </w:r>
      <w:r w:rsidR="00FE00F5" w:rsidRPr="00FE00F5">
        <w:rPr>
          <w:rFonts w:ascii="Calibri" w:hAnsi="Calibri" w:cs="Calibri"/>
          <w:noProof/>
        </w:rPr>
        <w:tab/>
        <w:t xml:space="preserve">Langmead. Bowtie2. </w:t>
      </w:r>
      <w:r w:rsidR="00FE00F5" w:rsidRPr="00FE00F5">
        <w:rPr>
          <w:rFonts w:ascii="Calibri" w:hAnsi="Calibri" w:cs="Calibri"/>
          <w:i/>
          <w:iCs/>
          <w:noProof/>
        </w:rPr>
        <w:t>Nature methods</w:t>
      </w:r>
      <w:r w:rsidR="00FE00F5" w:rsidRPr="00FE00F5">
        <w:rPr>
          <w:rFonts w:ascii="Calibri" w:hAnsi="Calibri" w:cs="Calibri"/>
          <w:noProof/>
        </w:rPr>
        <w:t xml:space="preserve"> (2013). doi:10.1038/nmeth.1923.Fast</w:t>
      </w:r>
    </w:p>
    <w:p w14:paraId="35D081DF" w14:textId="77777777" w:rsidR="00FE00F5" w:rsidRPr="00FE00F5" w:rsidRDefault="00FE00F5" w:rsidP="00FE00F5">
      <w:pPr>
        <w:widowControl w:val="0"/>
        <w:autoSpaceDE w:val="0"/>
        <w:autoSpaceDN w:val="0"/>
        <w:adjustRightInd w:val="0"/>
        <w:ind w:left="640" w:hanging="640"/>
        <w:rPr>
          <w:rFonts w:ascii="Calibri" w:hAnsi="Calibri" w:cs="Calibri"/>
          <w:noProof/>
        </w:rPr>
      </w:pPr>
      <w:r w:rsidRPr="00FE00F5">
        <w:rPr>
          <w:rFonts w:ascii="Calibri" w:hAnsi="Calibri" w:cs="Calibri"/>
          <w:noProof/>
        </w:rPr>
        <w:t>2.</w:t>
      </w:r>
      <w:r w:rsidRPr="00FE00F5">
        <w:rPr>
          <w:rFonts w:ascii="Calibri" w:hAnsi="Calibri" w:cs="Calibri"/>
          <w:noProof/>
        </w:rPr>
        <w:tab/>
        <w:t xml:space="preserve">Lerat, E., Fablet, M., Modolo, L., Lopez-Maestre, H. &amp; Vieira, C. TEtools facilitates big data expression analysis of transposable elements and reveals an antagonism between their activity and that of piRNA genes. </w:t>
      </w:r>
      <w:r w:rsidRPr="00FE00F5">
        <w:rPr>
          <w:rFonts w:ascii="Calibri" w:hAnsi="Calibri" w:cs="Calibri"/>
          <w:i/>
          <w:iCs/>
          <w:noProof/>
        </w:rPr>
        <w:t>Nucleic Acids Res.</w:t>
      </w:r>
      <w:r w:rsidRPr="00FE00F5">
        <w:rPr>
          <w:rFonts w:ascii="Calibri" w:hAnsi="Calibri" w:cs="Calibri"/>
          <w:noProof/>
        </w:rPr>
        <w:t xml:space="preserve"> (2017). doi:10.1093/nar/gkw953</w:t>
      </w:r>
    </w:p>
    <w:p w14:paraId="1B130A41" w14:textId="77777777" w:rsidR="00FE00F5" w:rsidRPr="00FE00F5" w:rsidRDefault="00FE00F5" w:rsidP="00FE00F5">
      <w:pPr>
        <w:widowControl w:val="0"/>
        <w:autoSpaceDE w:val="0"/>
        <w:autoSpaceDN w:val="0"/>
        <w:adjustRightInd w:val="0"/>
        <w:ind w:left="640" w:hanging="640"/>
        <w:rPr>
          <w:rFonts w:ascii="Calibri" w:hAnsi="Calibri" w:cs="Calibri"/>
          <w:noProof/>
        </w:rPr>
      </w:pPr>
      <w:r w:rsidRPr="00FE00F5">
        <w:rPr>
          <w:rFonts w:ascii="Calibri" w:hAnsi="Calibri" w:cs="Calibri"/>
          <w:noProof/>
        </w:rPr>
        <w:t>3.</w:t>
      </w:r>
      <w:r w:rsidRPr="00FE00F5">
        <w:rPr>
          <w:rFonts w:ascii="Calibri" w:hAnsi="Calibri" w:cs="Calibri"/>
          <w:noProof/>
        </w:rPr>
        <w:tab/>
        <w:t xml:space="preserve">Liao, Y., Smyth, G. K. &amp; Shi, W. FeatureCounts: An efficient general purpose program for assigning sequence reads to genomic features. </w:t>
      </w:r>
      <w:r w:rsidRPr="00FE00F5">
        <w:rPr>
          <w:rFonts w:ascii="Calibri" w:hAnsi="Calibri" w:cs="Calibri"/>
          <w:i/>
          <w:iCs/>
          <w:noProof/>
        </w:rPr>
        <w:t>Bioinformatics</w:t>
      </w:r>
      <w:r w:rsidRPr="00FE00F5">
        <w:rPr>
          <w:rFonts w:ascii="Calibri" w:hAnsi="Calibri" w:cs="Calibri"/>
          <w:noProof/>
        </w:rPr>
        <w:t xml:space="preserve"> (2014). doi:10.1093/bioinformatics/btt656</w:t>
      </w:r>
    </w:p>
    <w:p w14:paraId="447D0E12" w14:textId="77777777" w:rsidR="00FE00F5" w:rsidRPr="00FE00F5" w:rsidRDefault="00FE00F5" w:rsidP="00FE00F5">
      <w:pPr>
        <w:widowControl w:val="0"/>
        <w:autoSpaceDE w:val="0"/>
        <w:autoSpaceDN w:val="0"/>
        <w:adjustRightInd w:val="0"/>
        <w:ind w:left="640" w:hanging="640"/>
        <w:rPr>
          <w:rFonts w:ascii="Calibri" w:hAnsi="Calibri" w:cs="Calibri"/>
          <w:noProof/>
        </w:rPr>
      </w:pPr>
      <w:r w:rsidRPr="00FE00F5">
        <w:rPr>
          <w:rFonts w:ascii="Calibri" w:hAnsi="Calibri" w:cs="Calibri"/>
          <w:noProof/>
        </w:rPr>
        <w:t>4.</w:t>
      </w:r>
      <w:r w:rsidRPr="00FE00F5">
        <w:rPr>
          <w:rFonts w:ascii="Calibri" w:hAnsi="Calibri" w:cs="Calibri"/>
          <w:noProof/>
        </w:rPr>
        <w:tab/>
        <w:t xml:space="preserve">Love, M. I., Huber, W. &amp; Anders, S. Moderated estimation of fold change and dispersion for RNA-seq data with DESeq2. </w:t>
      </w:r>
      <w:r w:rsidRPr="00FE00F5">
        <w:rPr>
          <w:rFonts w:ascii="Calibri" w:hAnsi="Calibri" w:cs="Calibri"/>
          <w:i/>
          <w:iCs/>
          <w:noProof/>
        </w:rPr>
        <w:t>Genome Biol.</w:t>
      </w:r>
      <w:r w:rsidRPr="00FE00F5">
        <w:rPr>
          <w:rFonts w:ascii="Calibri" w:hAnsi="Calibri" w:cs="Calibri"/>
          <w:noProof/>
        </w:rPr>
        <w:t xml:space="preserve"> (2014). doi:10.1186/s13059-014-0550-8</w:t>
      </w:r>
    </w:p>
    <w:p w14:paraId="0C9193B2" w14:textId="77777777" w:rsidR="00FE00F5" w:rsidRPr="00FE00F5" w:rsidRDefault="00FE00F5" w:rsidP="00FE00F5">
      <w:pPr>
        <w:widowControl w:val="0"/>
        <w:autoSpaceDE w:val="0"/>
        <w:autoSpaceDN w:val="0"/>
        <w:adjustRightInd w:val="0"/>
        <w:ind w:left="640" w:hanging="640"/>
        <w:rPr>
          <w:rFonts w:ascii="Calibri" w:hAnsi="Calibri" w:cs="Calibri"/>
          <w:noProof/>
        </w:rPr>
      </w:pPr>
      <w:r w:rsidRPr="00FE00F5">
        <w:rPr>
          <w:rFonts w:ascii="Calibri" w:hAnsi="Calibri" w:cs="Calibri"/>
          <w:noProof/>
        </w:rPr>
        <w:t>5.</w:t>
      </w:r>
      <w:r w:rsidRPr="00FE00F5">
        <w:rPr>
          <w:rFonts w:ascii="Calibri" w:hAnsi="Calibri" w:cs="Calibri"/>
          <w:noProof/>
        </w:rPr>
        <w:tab/>
        <w:t xml:space="preserve">Stephens, M. False discovery rates: a new deal. </w:t>
      </w:r>
      <w:r w:rsidRPr="00FE00F5">
        <w:rPr>
          <w:rFonts w:ascii="Calibri" w:hAnsi="Calibri" w:cs="Calibri"/>
          <w:i/>
          <w:iCs/>
          <w:noProof/>
        </w:rPr>
        <w:t>Biostatistics</w:t>
      </w:r>
      <w:r w:rsidRPr="00FE00F5">
        <w:rPr>
          <w:rFonts w:ascii="Calibri" w:hAnsi="Calibri" w:cs="Calibri"/>
          <w:noProof/>
        </w:rPr>
        <w:t xml:space="preserve"> (2017). doi:10.1093/biostatistics/kxw041</w:t>
      </w:r>
    </w:p>
    <w:p w14:paraId="47DBCE42" w14:textId="77777777" w:rsidR="00FE00F5" w:rsidRPr="00FE00F5" w:rsidRDefault="00FE00F5" w:rsidP="00FE00F5">
      <w:pPr>
        <w:widowControl w:val="0"/>
        <w:autoSpaceDE w:val="0"/>
        <w:autoSpaceDN w:val="0"/>
        <w:adjustRightInd w:val="0"/>
        <w:ind w:left="640" w:hanging="640"/>
        <w:rPr>
          <w:rFonts w:ascii="Calibri" w:hAnsi="Calibri" w:cs="Calibri"/>
          <w:noProof/>
        </w:rPr>
      </w:pPr>
      <w:r w:rsidRPr="00FE00F5">
        <w:rPr>
          <w:rFonts w:ascii="Calibri" w:hAnsi="Calibri" w:cs="Calibri"/>
          <w:noProof/>
        </w:rPr>
        <w:t>6.</w:t>
      </w:r>
      <w:r w:rsidRPr="00FE00F5">
        <w:rPr>
          <w:rFonts w:ascii="Calibri" w:hAnsi="Calibri" w:cs="Calibri"/>
          <w:noProof/>
        </w:rPr>
        <w:tab/>
        <w:t xml:space="preserve">Gu, Z., Eils, R. &amp; Schlesner, M. Complex heatmaps reveal patterns and correlations in multidimensional genomic data. </w:t>
      </w:r>
      <w:r w:rsidRPr="00FE00F5">
        <w:rPr>
          <w:rFonts w:ascii="Calibri" w:hAnsi="Calibri" w:cs="Calibri"/>
          <w:i/>
          <w:iCs/>
          <w:noProof/>
        </w:rPr>
        <w:t>Bioinformatics</w:t>
      </w:r>
      <w:r w:rsidRPr="00FE00F5">
        <w:rPr>
          <w:rFonts w:ascii="Calibri" w:hAnsi="Calibri" w:cs="Calibri"/>
          <w:noProof/>
        </w:rPr>
        <w:t xml:space="preserve"> (2016). doi:10.1093/bioinformatics/btw313</w:t>
      </w:r>
    </w:p>
    <w:p w14:paraId="265E9331" w14:textId="7420900F" w:rsidR="00E23EAA" w:rsidRDefault="00E23EAA" w:rsidP="00FE00F5">
      <w:pPr>
        <w:widowControl w:val="0"/>
        <w:autoSpaceDE w:val="0"/>
        <w:autoSpaceDN w:val="0"/>
        <w:adjustRightInd w:val="0"/>
        <w:ind w:left="640" w:hanging="640"/>
      </w:pPr>
      <w:r>
        <w:fldChar w:fldCharType="end"/>
      </w:r>
    </w:p>
    <w:p w14:paraId="204391D4" w14:textId="5B3E2797" w:rsidR="00D56154" w:rsidRDefault="00D56154" w:rsidP="00FE00F5">
      <w:pPr>
        <w:widowControl w:val="0"/>
        <w:autoSpaceDE w:val="0"/>
        <w:autoSpaceDN w:val="0"/>
        <w:adjustRightInd w:val="0"/>
        <w:ind w:left="640" w:hanging="640"/>
      </w:pPr>
    </w:p>
    <w:p w14:paraId="7A81A0D2" w14:textId="5A0397BE" w:rsidR="00D56154" w:rsidRDefault="00D56154" w:rsidP="00FE00F5">
      <w:pPr>
        <w:widowControl w:val="0"/>
        <w:autoSpaceDE w:val="0"/>
        <w:autoSpaceDN w:val="0"/>
        <w:adjustRightInd w:val="0"/>
        <w:ind w:left="640" w:hanging="640"/>
      </w:pPr>
    </w:p>
    <w:p w14:paraId="56E12CD0" w14:textId="51C57089" w:rsidR="00D56154" w:rsidRDefault="00D56154" w:rsidP="00FE00F5">
      <w:pPr>
        <w:widowControl w:val="0"/>
        <w:autoSpaceDE w:val="0"/>
        <w:autoSpaceDN w:val="0"/>
        <w:adjustRightInd w:val="0"/>
        <w:ind w:left="640" w:hanging="640"/>
      </w:pPr>
      <w:r>
        <w:t xml:space="preserve">Log: </w:t>
      </w:r>
    </w:p>
    <w:p w14:paraId="1E7B1881" w14:textId="40EBC319" w:rsidR="00D56154" w:rsidRDefault="00D56154" w:rsidP="00FE00F5">
      <w:pPr>
        <w:widowControl w:val="0"/>
        <w:autoSpaceDE w:val="0"/>
        <w:autoSpaceDN w:val="0"/>
        <w:adjustRightInd w:val="0"/>
        <w:ind w:left="640" w:hanging="640"/>
      </w:pPr>
      <w:r>
        <w:t>@ Use local mapping in bowtie2, not end_to_end:</w:t>
      </w:r>
    </w:p>
    <w:p w14:paraId="7E647582" w14:textId="6EFCF11D" w:rsidR="00D56154" w:rsidRDefault="00D56154" w:rsidP="00FE00F5">
      <w:pPr>
        <w:widowControl w:val="0"/>
        <w:autoSpaceDE w:val="0"/>
        <w:autoSpaceDN w:val="0"/>
        <w:adjustRightInd w:val="0"/>
        <w:ind w:left="640" w:hanging="640"/>
      </w:pPr>
    </w:p>
    <w:p w14:paraId="78BACD28" w14:textId="472AC0A3" w:rsidR="00D56154" w:rsidRDefault="00D56154" w:rsidP="00FE00F5">
      <w:pPr>
        <w:widowControl w:val="0"/>
        <w:autoSpaceDE w:val="0"/>
        <w:autoSpaceDN w:val="0"/>
        <w:adjustRightInd w:val="0"/>
        <w:ind w:left="640" w:hanging="640"/>
      </w:pPr>
      <w:r>
        <w:t>@ Combine TE count with regular genes for robust normalization (very important)</w:t>
      </w:r>
    </w:p>
    <w:p w14:paraId="4E2D0F12" w14:textId="31A807EC" w:rsidR="00D56154" w:rsidRDefault="00D56154" w:rsidP="00FE00F5">
      <w:pPr>
        <w:widowControl w:val="0"/>
        <w:autoSpaceDE w:val="0"/>
        <w:autoSpaceDN w:val="0"/>
        <w:adjustRightInd w:val="0"/>
        <w:ind w:left="640" w:hanging="640"/>
      </w:pPr>
    </w:p>
    <w:p w14:paraId="1644AF2B" w14:textId="3F93AD50" w:rsidR="00D56154" w:rsidRPr="00C14300" w:rsidRDefault="00D56154" w:rsidP="00FE00F5">
      <w:pPr>
        <w:widowControl w:val="0"/>
        <w:autoSpaceDE w:val="0"/>
        <w:autoSpaceDN w:val="0"/>
        <w:adjustRightInd w:val="0"/>
        <w:ind w:left="640" w:hanging="640"/>
      </w:pPr>
      <w:r>
        <w:lastRenderedPageBreak/>
        <w:t>@ DESeq2</w:t>
      </w:r>
      <w:bookmarkStart w:id="0" w:name="_GoBack"/>
      <w:bookmarkEnd w:id="0"/>
    </w:p>
    <w:sectPr w:rsidR="00D56154" w:rsidRPr="00C14300" w:rsidSect="007109E9">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B6CDE"/>
    <w:multiLevelType w:val="multilevel"/>
    <w:tmpl w:val="B1E8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0CE"/>
    <w:rsid w:val="000D0F81"/>
    <w:rsid w:val="000D60CE"/>
    <w:rsid w:val="00301346"/>
    <w:rsid w:val="003862A3"/>
    <w:rsid w:val="006222D5"/>
    <w:rsid w:val="006C5272"/>
    <w:rsid w:val="007109E9"/>
    <w:rsid w:val="00814D29"/>
    <w:rsid w:val="00AF4438"/>
    <w:rsid w:val="00B108F7"/>
    <w:rsid w:val="00B76E3D"/>
    <w:rsid w:val="00BC564E"/>
    <w:rsid w:val="00C14300"/>
    <w:rsid w:val="00C74EDF"/>
    <w:rsid w:val="00C932DF"/>
    <w:rsid w:val="00D56154"/>
    <w:rsid w:val="00D9082C"/>
    <w:rsid w:val="00DD1162"/>
    <w:rsid w:val="00DE0C0A"/>
    <w:rsid w:val="00E23EAA"/>
    <w:rsid w:val="00F41B72"/>
    <w:rsid w:val="00FB157B"/>
    <w:rsid w:val="00FE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A4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27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C5272"/>
  </w:style>
  <w:style w:type="character" w:styleId="Strong">
    <w:name w:val="Strong"/>
    <w:basedOn w:val="DefaultParagraphFont"/>
    <w:uiPriority w:val="22"/>
    <w:qFormat/>
    <w:rsid w:val="006C5272"/>
    <w:rPr>
      <w:b/>
      <w:bCs/>
    </w:rPr>
  </w:style>
  <w:style w:type="character" w:styleId="Emphasis">
    <w:name w:val="Emphasis"/>
    <w:basedOn w:val="DefaultParagraphFont"/>
    <w:uiPriority w:val="20"/>
    <w:qFormat/>
    <w:rsid w:val="006C5272"/>
    <w:rPr>
      <w:i/>
      <w:iCs/>
    </w:rPr>
  </w:style>
  <w:style w:type="character" w:styleId="Hyperlink">
    <w:name w:val="Hyperlink"/>
    <w:basedOn w:val="DefaultParagraphFont"/>
    <w:uiPriority w:val="99"/>
    <w:semiHidden/>
    <w:unhideWhenUsed/>
    <w:rsid w:val="006C5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5860">
      <w:bodyDiv w:val="1"/>
      <w:marLeft w:val="0"/>
      <w:marRight w:val="0"/>
      <w:marTop w:val="0"/>
      <w:marBottom w:val="0"/>
      <w:divBdr>
        <w:top w:val="none" w:sz="0" w:space="0" w:color="auto"/>
        <w:left w:val="none" w:sz="0" w:space="0" w:color="auto"/>
        <w:bottom w:val="none" w:sz="0" w:space="0" w:color="auto"/>
        <w:right w:val="none" w:sz="0" w:space="0" w:color="auto"/>
      </w:divBdr>
    </w:div>
    <w:div w:id="540745403">
      <w:bodyDiv w:val="1"/>
      <w:marLeft w:val="0"/>
      <w:marRight w:val="0"/>
      <w:marTop w:val="0"/>
      <w:marBottom w:val="0"/>
      <w:divBdr>
        <w:top w:val="none" w:sz="0" w:space="0" w:color="auto"/>
        <w:left w:val="none" w:sz="0" w:space="0" w:color="auto"/>
        <w:bottom w:val="none" w:sz="0" w:space="0" w:color="auto"/>
        <w:right w:val="none" w:sz="0" w:space="0" w:color="auto"/>
      </w:divBdr>
      <w:divsChild>
        <w:div w:id="903368958">
          <w:marLeft w:val="0"/>
          <w:marRight w:val="0"/>
          <w:marTop w:val="0"/>
          <w:marBottom w:val="0"/>
          <w:divBdr>
            <w:top w:val="none" w:sz="0" w:space="0" w:color="auto"/>
            <w:left w:val="none" w:sz="0" w:space="0" w:color="auto"/>
            <w:bottom w:val="none" w:sz="0" w:space="0" w:color="auto"/>
            <w:right w:val="none" w:sz="0" w:space="0" w:color="auto"/>
          </w:divBdr>
        </w:div>
        <w:div w:id="1241794662">
          <w:marLeft w:val="0"/>
          <w:marRight w:val="0"/>
          <w:marTop w:val="0"/>
          <w:marBottom w:val="0"/>
          <w:divBdr>
            <w:top w:val="none" w:sz="0" w:space="0" w:color="auto"/>
            <w:left w:val="none" w:sz="0" w:space="0" w:color="auto"/>
            <w:bottom w:val="none" w:sz="0" w:space="0" w:color="auto"/>
            <w:right w:val="none" w:sz="0" w:space="0" w:color="auto"/>
          </w:divBdr>
        </w:div>
      </w:divsChild>
    </w:div>
    <w:div w:id="622426688">
      <w:bodyDiv w:val="1"/>
      <w:marLeft w:val="0"/>
      <w:marRight w:val="0"/>
      <w:marTop w:val="0"/>
      <w:marBottom w:val="0"/>
      <w:divBdr>
        <w:top w:val="none" w:sz="0" w:space="0" w:color="auto"/>
        <w:left w:val="none" w:sz="0" w:space="0" w:color="auto"/>
        <w:bottom w:val="none" w:sz="0" w:space="0" w:color="auto"/>
        <w:right w:val="none" w:sz="0" w:space="0" w:color="auto"/>
      </w:divBdr>
    </w:div>
    <w:div w:id="1432236095">
      <w:bodyDiv w:val="1"/>
      <w:marLeft w:val="0"/>
      <w:marRight w:val="0"/>
      <w:marTop w:val="0"/>
      <w:marBottom w:val="0"/>
      <w:divBdr>
        <w:top w:val="none" w:sz="0" w:space="0" w:color="auto"/>
        <w:left w:val="none" w:sz="0" w:space="0" w:color="auto"/>
        <w:bottom w:val="none" w:sz="0" w:space="0" w:color="auto"/>
        <w:right w:val="none" w:sz="0" w:space="0" w:color="auto"/>
      </w:divBdr>
    </w:div>
    <w:div w:id="19171271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61FBC-0BE7-5645-AD28-E65D5760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dc:creator>
  <cp:keywords/>
  <dc:description/>
  <cp:lastModifiedBy>Li, Rui</cp:lastModifiedBy>
  <cp:revision>20</cp:revision>
  <cp:lastPrinted>2018-05-21T16:55:00Z</cp:lastPrinted>
  <dcterms:created xsi:type="dcterms:W3CDTF">2017-04-11T01:55:00Z</dcterms:created>
  <dcterms:modified xsi:type="dcterms:W3CDTF">2019-10-01T19:19:00Z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d937d53b-8e7c-3478-a3ce-22076e6da1c6</vt:lpwstr>
  </property>
  <property fmtid="{D5CDD505-2E9C-101B-9397-08002B2CF9AE}" pid="24" name="Mendeley Citation Style_1">
    <vt:lpwstr>http://www.zotero.org/styles/nature</vt:lpwstr>
  </property>
</Properties>
</file>