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Requirements Document (PRD): VintageIQ v3.0</w:t>
      </w:r>
    </w:p>
    <w:p>
      <w:pPr>
        <w:pStyle w:val="Heading1"/>
      </w:pPr>
      <w:r>
        <w:t>1. Executive Summary</w:t>
      </w:r>
    </w:p>
    <w:p>
      <w:r>
        <w:t>Project Name: VintageIQ</w:t>
      </w:r>
    </w:p>
    <w:p>
      <w:r>
        <w:t>Version: 3.0</w:t>
      </w:r>
    </w:p>
    <w:p>
      <w:r>
        <w:t>Status: MVP / Prototype</w:t>
      </w:r>
    </w:p>
    <w:p>
      <w:r>
        <w:t>Concept: A high-performance, institutional-grade portfolio monitoring platform designed specifically for Family Offices and High-Net-Worth Individuals (HNWIs). VintageIQ centralizes complex alternative investments (PE/VC/RE), public equities, and fixed income into a unified dashboard with zero external dependencies.</w:t>
      </w:r>
    </w:p>
    <w:p>
      <w:r>
        <w:t>---</w:t>
      </w:r>
    </w:p>
    <w:p>
      <w:pPr>
        <w:pStyle w:val="Heading1"/>
      </w:pPr>
      <w:r>
        <w:t>2. Problem Statement</w:t>
      </w:r>
    </w:p>
    <w:p>
      <w:r>
        <w:t>Family offices currently manage billions in assets using "Excel sprawl"—fragmented spreadsheets that are:</w:t>
      </w:r>
    </w:p>
    <w:p>
      <w:r>
        <w:t>1. Error-prone: Manual IRR and TVPI calculations often contain formula errors.</w:t>
      </w:r>
    </w:p>
    <w:p>
      <w:r>
        <w:t>2. Lagging: Performance data for private funds is often buried in PDFs and not easily visualized.</w:t>
      </w:r>
    </w:p>
    <w:p>
      <w:r>
        <w:t>3. Fragmented: No single view exists for combined public equity risk and private equity J-curve metrics.</w:t>
      </w:r>
    </w:p>
    <w:p>
      <w:r>
        <w:t>4. Desktop-bound: Legacy tools do not provide a premium, mobile-first experience for principals on the move.</w:t>
      </w:r>
    </w:p>
    <w:p>
      <w:r>
        <w:t>---</w:t>
      </w:r>
    </w:p>
    <w:p>
      <w:pPr>
        <w:pStyle w:val="Heading1"/>
      </w:pPr>
      <w:r>
        <w:t>3. Goals &amp; Objectives</w:t>
      </w:r>
    </w:p>
    <w:p>
      <w:pPr>
        <w:pStyle w:val="ListBullet"/>
      </w:pPr>
      <w:r>
        <w:t xml:space="preserve">  **Centralization**: Consolidate 100+ multi-asset holdings into a single source of truth.</w:t>
      </w:r>
    </w:p>
    <w:p>
      <w:pPr>
        <w:pStyle w:val="ListBullet"/>
      </w:pPr>
      <w:r>
        <w:t xml:space="preserve">  **High Performance**: Achieve sub-second page loads using a lightweight, dependency-free architecture.</w:t>
      </w:r>
    </w:p>
    <w:p>
      <w:pPr>
        <w:pStyle w:val="ListBullet"/>
      </w:pPr>
      <w:r>
        <w:t xml:space="preserve">  **Transparency**: Standardize complex performance metrics (XIRR, DPI, TVPI) across all asset classes.</w:t>
      </w:r>
    </w:p>
    <w:p>
      <w:pPr>
        <w:pStyle w:val="ListBullet"/>
      </w:pPr>
      <w:r>
        <w:t xml:space="preserve">  **Mobile Readiness**: Provide a "C-suite ready" interface optimized for high-end mobile devices.</w:t>
      </w:r>
    </w:p>
    <w:p>
      <w:r>
        <w:t>---</w:t>
      </w:r>
    </w:p>
    <w:p>
      <w:pPr>
        <w:pStyle w:val="Heading1"/>
      </w:pPr>
      <w:r>
        <w:t>4. Target Audience</w:t>
      </w:r>
    </w:p>
    <w:p>
      <w:pPr>
        <w:pStyle w:val="ListBullet"/>
      </w:pPr>
      <w:r>
        <w:t xml:space="preserve">  **CIO / Portfolio Manager**: Needs deep-dive analytics, attribution, and risk metrics.</w:t>
      </w:r>
    </w:p>
    <w:p>
      <w:pPr>
        <w:pStyle w:val="ListBullet"/>
      </w:pPr>
      <w:r>
        <w:t xml:space="preserve">  **Family Principal**: Needs high-level AUM tracking, liquidity status, and mobile access.</w:t>
      </w:r>
    </w:p>
    <w:p>
      <w:pPr>
        <w:pStyle w:val="ListBullet"/>
      </w:pPr>
      <w:r>
        <w:t xml:space="preserve">  **Analysts**: Need a structured repository for capital calls and quarterly letters.</w:t>
      </w:r>
    </w:p>
    <w:p>
      <w:r>
        <w:t>---</w:t>
      </w:r>
    </w:p>
    <w:p>
      <w:pPr>
        <w:pStyle w:val="Heading1"/>
      </w:pPr>
      <w:r>
        <w:t>5. Functional Requirements</w:t>
      </w:r>
    </w:p>
    <w:p>
      <w:pPr>
        <w:pStyle w:val="Heading2"/>
      </w:pPr>
      <w:r>
        <w:t>5.1. Multi-Asset Portfolio Management</w:t>
      </w:r>
    </w:p>
    <w:p>
      <w:pPr>
        <w:pStyle w:val="ListBullet"/>
      </w:pPr>
      <w:r>
        <w:t xml:space="preserve">  **Fund Vault**: Tracking for 30 private funds with automated J-curve generation.</w:t>
      </w:r>
    </w:p>
    <w:p>
      <w:pPr>
        <w:pStyle w:val="ListBullet"/>
      </w:pPr>
      <w:r>
        <w:t xml:space="preserve">  **Equity Intelligence**: Management of 55+ direct equity positions with annualized return attribution.</w:t>
      </w:r>
    </w:p>
    <w:p>
      <w:pPr>
        <w:pStyle w:val="ListBullet"/>
      </w:pPr>
      <w:r>
        <w:t xml:space="preserve">  **Bond Ledger**: Tracking of 10+ fixed income instruments with Yield-To-Maturity (YTM) modeling.</w:t>
      </w:r>
    </w:p>
    <w:p>
      <w:pPr>
        <w:pStyle w:val="ListBullet"/>
      </w:pPr>
      <w:r>
        <w:t xml:space="preserve">  **Alternatives Tracker**: Valuation tracking for Art, Wine, Real Assets, and Crypto.</w:t>
      </w:r>
    </w:p>
    <w:p>
      <w:pPr>
        <w:pStyle w:val="Heading2"/>
      </w:pPr>
      <w:r>
        <w:t>5.2. Analytics Engine</w:t>
      </w:r>
    </w:p>
    <w:p>
      <w:pPr>
        <w:pStyle w:val="ListBullet"/>
      </w:pPr>
      <w:r>
        <w:t xml:space="preserve">  **XIRR Calculation**: Time-weighted internal rate of return using Newton-Raphson approximation.</w:t>
      </w:r>
    </w:p>
    <w:p>
      <w:pPr>
        <w:pStyle w:val="ListBullet"/>
      </w:pPr>
      <w:r>
        <w:t xml:space="preserve">  **Multi-Tier Performance**: Automated calculation of YTD, 1Y, 3Y, 5Y, and Since Inception returns.</w:t>
      </w:r>
    </w:p>
    <w:p>
      <w:pPr>
        <w:pStyle w:val="ListBullet"/>
      </w:pPr>
      <w:r>
        <w:t xml:space="preserve">  **Cash Flow Waterfall**: Visualization of portfolio bridges (Inflows, Gains, Distributions, Income).</w:t>
      </w:r>
    </w:p>
    <w:p>
      <w:pPr>
        <w:pStyle w:val="Heading2"/>
      </w:pPr>
      <w:r>
        <w:t>5.3. User Interface (UI/UX)</w:t>
      </w:r>
    </w:p>
    <w:p>
      <w:pPr>
        <w:pStyle w:val="ListBullet"/>
      </w:pPr>
      <w:r>
        <w:t xml:space="preserve">  **9 Core Views**: Dashboard, Holdings, Performance, Liquidity, Risk, Exposure, Attribution, Leverage, and Governance.</w:t>
      </w:r>
    </w:p>
    <w:p>
      <w:pPr>
        <w:pStyle w:val="ListBullet"/>
      </w:pPr>
      <w:r>
        <w:t xml:space="preserve">  **Mobile Navigation**: Adaptive hamburger menu with a slide-in drawer layout.</w:t>
      </w:r>
    </w:p>
    <w:p>
      <w:pPr>
        <w:pStyle w:val="ListBullet"/>
      </w:pPr>
      <w:r>
        <w:t xml:space="preserve">  **Interactive Visualization**: Custom SVG-based line, bar, and waterfall charts with real-time tooltips.</w:t>
      </w:r>
    </w:p>
    <w:p>
      <w:pPr>
        <w:pStyle w:val="Heading2"/>
      </w:pPr>
      <w:r>
        <w:t>5.4. Document Management</w:t>
      </w:r>
    </w:p>
    <w:p>
      <w:pPr>
        <w:pStyle w:val="ListBullet"/>
      </w:pPr>
      <w:r>
        <w:t xml:space="preserve">  **The Vault**: A centralized repository for capital account statements, audited financials, and K-1 tax documents.</w:t>
      </w:r>
    </w:p>
    <w:p>
      <w:r>
        <w:t>---</w:t>
      </w:r>
    </w:p>
    <w:p>
      <w:pPr>
        <w:pStyle w:val="Heading1"/>
      </w:pPr>
      <w:r>
        <w:t>6. Technical Requirements</w:t>
      </w:r>
    </w:p>
    <w:p>
      <w:pPr>
        <w:pStyle w:val="ListBullet"/>
      </w:pPr>
      <w:r>
        <w:t xml:space="preserve">  **Tech Stack**: Vanilla HTML5, CSS3 (variables/grid), and ES6+ JavaScript.</w:t>
      </w:r>
    </w:p>
    <w:p>
      <w:pPr>
        <w:pStyle w:val="ListBullet"/>
      </w:pPr>
      <w:r>
        <w:t xml:space="preserve">  **External Dependencies**: Zero (0).</w:t>
      </w:r>
    </w:p>
    <w:p>
      <w:pPr>
        <w:pStyle w:val="ListBullet"/>
      </w:pPr>
      <w:r>
        <w:t xml:space="preserve">  **Data Strategy**: Seeded deterministic PRNG for stable, high-fidelity mock data generation.</w:t>
      </w:r>
    </w:p>
    <w:p>
      <w:pPr>
        <w:pStyle w:val="ListBullet"/>
      </w:pPr>
      <w:r>
        <w:t xml:space="preserve">  **Architecture**: Modular "View-Render" pattern with state-based client-side routing.</w:t>
      </w:r>
    </w:p>
    <w:p>
      <w:pPr>
        <w:pStyle w:val="ListBullet"/>
      </w:pPr>
      <w:r>
        <w:t xml:space="preserve">  **Schema**: Backend-ready JSDoc types mapping to a future SQL/API layer.</w:t>
      </w:r>
    </w:p>
    <w:p>
      <w:r>
        <w:t>---</w:t>
      </w:r>
    </w:p>
    <w:p>
      <w:pPr>
        <w:pStyle w:val="Heading1"/>
      </w:pPr>
      <w:r>
        <w:t>7. Roadmap</w:t>
      </w:r>
    </w:p>
    <w:p>
      <w:pPr>
        <w:pStyle w:val="Heading2"/>
      </w:pPr>
      <w:r>
        <w:t>Phase 1: Foundation (Current)</w:t>
      </w:r>
    </w:p>
    <w:p>
      <w:pPr>
        <w:pStyle w:val="ListBullet"/>
      </w:pPr>
      <w:r>
        <w:t xml:space="preserve">  100+ Holdings Dataset.</w:t>
      </w:r>
    </w:p>
    <w:p>
      <w:pPr>
        <w:pStyle w:val="ListBullet"/>
      </w:pPr>
      <w:r>
        <w:t xml:space="preserve">  Annualized Returns Logic.</w:t>
      </w:r>
    </w:p>
    <w:p>
      <w:pPr>
        <w:pStyle w:val="ListBullet"/>
      </w:pPr>
      <w:r>
        <w:t xml:space="preserve">  Mobile-First UI Overhaul.</w:t>
      </w:r>
    </w:p>
    <w:p>
      <w:pPr>
        <w:pStyle w:val="ListBullet"/>
      </w:pPr>
      <w:r>
        <w:t xml:space="preserve">  Backend-ready Schema Documentation.</w:t>
      </w:r>
    </w:p>
    <w:p>
      <w:pPr>
        <w:pStyle w:val="Heading2"/>
      </w:pPr>
      <w:r>
        <w:t>Phase 2: Interactivity &amp; Persistence</w:t>
      </w:r>
    </w:p>
    <w:p>
      <w:pPr>
        <w:pStyle w:val="ListBullet"/>
      </w:pPr>
      <w:r>
        <w:t xml:space="preserve">  CSV/Excel Import Engine.</w:t>
      </w:r>
    </w:p>
    <w:p>
      <w:pPr>
        <w:pStyle w:val="ListBullet"/>
      </w:pPr>
      <w:r>
        <w:t xml:space="preserve">  Local persistence via IndexedDB / LocalStorage.</w:t>
      </w:r>
    </w:p>
    <w:p>
      <w:pPr>
        <w:pStyle w:val="ListBullet"/>
      </w:pPr>
      <w:r>
        <w:t xml:space="preserve">  Live market data integration via WebSockets.</w:t>
      </w:r>
    </w:p>
    <w:p>
      <w:pPr>
        <w:pStyle w:val="Heading2"/>
      </w:pPr>
      <w:r>
        <w:t>Phase 3: Reporting &amp; Compliance</w:t>
      </w:r>
    </w:p>
    <w:p>
      <w:pPr>
        <w:pStyle w:val="ListBullet"/>
      </w:pPr>
      <w:r>
        <w:t xml:space="preserve">  Automated PDF Quarterly Board Deck generation.</w:t>
      </w:r>
    </w:p>
    <w:p>
      <w:pPr>
        <w:pStyle w:val="ListBullet"/>
      </w:pPr>
      <w:r>
        <w:t xml:space="preserve">  Multi-currency (EUR/GBP) support with real-time FX hedging visualization.</w:t>
      </w:r>
    </w:p>
    <w:p>
      <w:pPr>
        <w:pStyle w:val="ListBullet"/>
      </w:pPr>
      <w:r>
        <w:t xml:space="preserve">  Role-Based Access Control (RBAC) frontend logic.</w:t>
      </w:r>
    </w:p>
    <w:p>
      <w:r>
        <w:t>---</w:t>
      </w:r>
    </w:p>
    <w:p>
      <w:pPr>
        <w:pStyle w:val="Heading1"/>
      </w:pPr>
      <w:r>
        <w:t>8. Success Metrics</w:t>
      </w:r>
    </w:p>
    <w:p>
      <w:pPr>
        <w:pStyle w:val="ListBullet"/>
      </w:pPr>
      <w:r>
        <w:t xml:space="preserve">  **Performance**: Dashboards must load in under 200ms.</w:t>
      </w:r>
    </w:p>
    <w:p>
      <w:pPr>
        <w:pStyle w:val="ListBullet"/>
      </w:pPr>
      <w:r>
        <w:t xml:space="preserve">  **Accuracy**: Calculated IRR must match Excel XIRR within 0.01%.</w:t>
      </w:r>
    </w:p>
    <w:p>
      <w:pPr>
        <w:pStyle w:val="ListBullet"/>
      </w:pPr>
      <w:r>
        <w:t xml:space="preserve">  **Usability**: Zero scroll-bars on mobile (except for data tables).</w:t>
      </w:r>
    </w:p>
    <w:p>
      <w:r>
        <w:t>---</w:t>
      </w:r>
    </w:p>
    <w:p>
      <w:pPr>
        <w:pStyle w:val="Heading1"/>
      </w:pPr>
      <w:r>
        <w:t>9. Governance &amp; Compliance</w:t>
      </w:r>
    </w:p>
    <w:p>
      <w:pPr>
        <w:pStyle w:val="ListBullet"/>
      </w:pPr>
      <w:r>
        <w:t xml:space="preserve">  Standardized ESG Composite Scoring.</w:t>
      </w:r>
    </w:p>
    <w:p>
      <w:pPr>
        <w:pStyle w:val="ListBullet"/>
      </w:pPr>
      <w:r>
        <w:t xml:space="preserve">  Compliance Checklist for regulatory filings.</w:t>
      </w:r>
    </w:p>
    <w:p>
      <w:pPr>
        <w:pStyle w:val="ListBullet"/>
      </w:pPr>
      <w:r>
        <w:t xml:space="preserve">  Audit trail preparation for transactions.</w:t>
      </w:r>
    </w:p>
    <w:p>
      <w:r>
        <w:t>---</w:t>
      </w:r>
    </w:p>
    <w:p>
      <w:r>
        <w:t>*Document generated on: 2026-02-15*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