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MINDEN HIGH SCHOOL GAME NOTES</w:t>
      </w:r>
    </w:p>
    <w:p>
      <w:pPr>
        <w:jc w:val="center"/>
      </w:pPr>
      <w:r>
        <w:rPr>
          <w:b/>
          <w:sz w:val="30"/>
        </w:rPr>
        <w:t>PUBLICATION GOVERNANCE STANDARD</w:t>
      </w:r>
    </w:p>
    <w:p>
      <w:pPr>
        <w:jc w:val="center"/>
      </w:pPr>
      <w:r>
        <w:rPr>
          <w:i/>
        </w:rPr>
        <w:t>2026 Season — Design Authority • Change Control • Weekly Continuity</w:t>
      </w:r>
    </w:p>
    <w:p>
      <w:pPr>
        <w:pStyle w:val="Heading1"/>
      </w:pPr>
      <w:r>
        <w:t>1. Purpose</w:t>
      </w:r>
    </w:p>
    <w:p>
      <w:r>
        <w:t>This standard governs how the Minden High School Game Notes publication is maintained, updated, rendered, reviewed, and changed. It protects the approved publication identity from week-to-week drift regardless of production tool. The standard governs the process; the tool does not govern the publication.</w:t>
      </w:r>
    </w:p>
    <w:p>
      <w:pPr>
        <w:pStyle w:val="Heading1"/>
      </w:pPr>
      <w:r>
        <w:t>2. Authority Hierarchy</w:t>
      </w:r>
    </w:p>
    <w:p>
      <w:pPr>
        <w:pStyle w:val="ListBullet"/>
      </w:pPr>
      <w:r>
        <w:t>1. Publication Governance Standard — highest authority for preservation, change control, approval, and continuity.</w:t>
      </w:r>
    </w:p>
    <w:p>
      <w:pPr>
        <w:pStyle w:val="ListBullet"/>
      </w:pPr>
      <w:r>
        <w:t>2. 2026 Production Guide — authority for page purpose, weekly/static behavior, source authority, and production workflow.</w:t>
      </w:r>
    </w:p>
    <w:p>
      <w:pPr>
        <w:pStyle w:val="ListBullet"/>
      </w:pPr>
      <w:r>
        <w:t>3. Approved Visual System — authority for typography, grayscale hierarchy, rules, panels, tables, headers, footers, and reusable design primitives.</w:t>
      </w:r>
    </w:p>
    <w:p>
      <w:pPr>
        <w:pStyle w:val="ListBullet"/>
      </w:pPr>
      <w:r>
        <w:t>4. Page Template Contracts — authority for each page's locked, weekly, conditional, imported/calculated, editorial, and verification-sensitive fields.</w:t>
      </w:r>
    </w:p>
    <w:p>
      <w:pPr>
        <w:pStyle w:val="ListBullet"/>
      </w:pPr>
      <w:r>
        <w:t>5. Visual Reference Masters — accepted PDF/PNG pages and accepted weekly editions used to preserve publication quality and continuity.</w:t>
      </w:r>
    </w:p>
    <w:p>
      <w:pPr>
        <w:pStyle w:val="ListBullet"/>
      </w:pPr>
      <w:r>
        <w:t>6. Weekly project data — authoritative content for the specific game week after verification.</w:t>
      </w:r>
    </w:p>
    <w:p>
      <w:r>
        <w:t>If lower-level authorities conflict, the higher-level authority controls until the conflict is explicitly resolved.</w:t>
      </w:r>
    </w:p>
    <w:p>
      <w:pPr>
        <w:pStyle w:val="Heading1"/>
      </w:pPr>
      <w:r>
        <w:t>3. Publication Identity Principle</w:t>
      </w:r>
    </w:p>
    <w:p>
      <w:r>
        <w:t>Each weekly edition must preserve the established identity, typography, visual hierarchy, recurring elements, page purposes, and general grid language of the Minden Game Notes. Exact element coordinates and dimensions may vary when necessary to accommodate weekly content. Content determines composition; the approved visual system determines identity.</w:t>
      </w:r>
    </w:p>
    <w:p>
      <w:pPr>
        <w:pStyle w:val="Heading1"/>
      </w:pPr>
      <w:r>
        <w:t>4. Controlled Composition Rule</w:t>
      </w:r>
    </w:p>
    <w:p>
      <w:r>
        <w:t>Weekly pages may be recomposed when content requires it, but they must begin from the prior accepted edition and designated Visual Reference Masters. Recomposition may improve fit, balance, readability, density, or editorial emphasis; it must not become arbitrary redesign. The goal is visual continuity, not pixel-for-pixel geometric duplication.</w:t>
      </w:r>
    </w:p>
    <w:p>
      <w:pPr>
        <w:pStyle w:val="Heading1"/>
      </w:pPr>
      <w:r>
        <w:t>5. Change Classes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Class</w:t>
            </w:r>
          </w:p>
        </w:tc>
        <w:tc>
          <w:tcPr>
            <w:tcW w:type="dxa" w:w="3456"/>
          </w:tcPr>
          <w:p>
            <w:r>
              <w:t>Examples</w:t>
            </w:r>
          </w:p>
        </w:tc>
        <w:tc>
          <w:tcPr>
            <w:tcW w:type="dxa" w:w="3456"/>
          </w:tcPr>
          <w:p>
            <w:r>
              <w:t>Approval</w:t>
            </w:r>
          </w:p>
        </w:tc>
      </w:tr>
      <w:tr>
        <w:tc>
          <w:tcPr>
            <w:tcW w:type="dxa" w:w="3456"/>
            <w:vAlign w:val="center"/>
          </w:tcPr>
          <w:p>
            <w:r>
              <w:t>Weekly Content Update</w:t>
            </w:r>
          </w:p>
        </w:tc>
        <w:tc>
          <w:tcPr>
            <w:tcW w:type="dxa" w:w="3456"/>
            <w:vAlign w:val="center"/>
          </w:tcPr>
          <w:p>
            <w:r>
              <w:t>Opponent, date, weather, schedules, narratives, weekly labels</w:t>
            </w:r>
          </w:p>
        </w:tc>
        <w:tc>
          <w:tcPr>
            <w:tcW w:type="dxa" w:w="3456"/>
            <w:vAlign w:val="center"/>
          </w:tcPr>
          <w:p>
            <w:r>
              <w:t>No template approval; verification still required</w:t>
            </w:r>
          </w:p>
        </w:tc>
      </w:tr>
      <w:tr>
        <w:tc>
          <w:tcPr>
            <w:tcW w:type="dxa" w:w="3456"/>
            <w:vAlign w:val="center"/>
          </w:tcPr>
          <w:p>
            <w:r>
              <w:t>Statistical/Data Update</w:t>
            </w:r>
          </w:p>
        </w:tc>
        <w:tc>
          <w:tcPr>
            <w:tcW w:type="dxa" w:w="3456"/>
            <w:vAlign w:val="center"/>
          </w:tcPr>
          <w:p>
            <w:r>
              <w:t>Imported game stats, standings, records, percentages, calculated totals</w:t>
            </w:r>
          </w:p>
        </w:tc>
        <w:tc>
          <w:tcPr>
            <w:tcW w:type="dxa" w:w="3456"/>
            <w:vAlign w:val="center"/>
          </w:tcPr>
          <w:p>
            <w:r>
              <w:t>Verification required before final publication</w:t>
            </w:r>
          </w:p>
        </w:tc>
      </w:tr>
      <w:tr>
        <w:tc>
          <w:tcPr>
            <w:tcW w:type="dxa" w:w="3456"/>
            <w:vAlign w:val="center"/>
          </w:tcPr>
          <w:p>
            <w:r>
              <w:t>Editorial Composition</w:t>
            </w:r>
          </w:p>
        </w:tc>
        <w:tc>
          <w:tcPr>
            <w:tcW w:type="dxa" w:w="3456"/>
            <w:vAlign w:val="center"/>
          </w:tcPr>
          <w:p>
            <w:r>
              <w:t>Page 7 Nerd Notes, Stat of the Week selection, flexible editorial copy</w:t>
            </w:r>
          </w:p>
        </w:tc>
        <w:tc>
          <w:tcPr>
            <w:tcW w:type="dxa" w:w="3456"/>
            <w:vAlign w:val="center"/>
          </w:tcPr>
          <w:p>
            <w:r>
              <w:t>Editorial review; must remain consistent with governed publication identity</w:t>
            </w:r>
          </w:p>
        </w:tc>
      </w:tr>
      <w:tr>
        <w:tc>
          <w:tcPr>
            <w:tcW w:type="dxa" w:w="3456"/>
            <w:vAlign w:val="center"/>
          </w:tcPr>
          <w:p>
            <w:r>
              <w:t>Conditional Template Behavior</w:t>
            </w:r>
          </w:p>
        </w:tc>
        <w:tc>
          <w:tcPr>
            <w:tcW w:type="dxa" w:w="3456"/>
            <w:vAlign w:val="center"/>
          </w:tcPr>
          <w:p>
            <w:r>
              <w:t>2026 row added/bolded, Heard enters Top 5, approved column rebalancing</w:t>
            </w:r>
          </w:p>
        </w:tc>
        <w:tc>
          <w:tcPr>
            <w:tcW w:type="dxa" w:w="3456"/>
            <w:vAlign w:val="center"/>
          </w:tcPr>
          <w:p>
            <w:r>
              <w:t>Allowed only where specified in page contract</w:t>
            </w:r>
          </w:p>
        </w:tc>
      </w:tr>
      <w:tr>
        <w:tc>
          <w:tcPr>
            <w:tcW w:type="dxa" w:w="3456"/>
            <w:vAlign w:val="center"/>
          </w:tcPr>
          <w:p>
            <w:r>
              <w:t>Template/Design Revision</w:t>
            </w:r>
          </w:p>
        </w:tc>
        <w:tc>
          <w:tcPr>
            <w:tcW w:type="dxa" w:w="3456"/>
            <w:vAlign w:val="center"/>
          </w:tcPr>
          <w:p>
            <w:r>
              <w:t>Permanent page-purpose, typography, visual-system, or recurring structural changes</w:t>
            </w:r>
          </w:p>
        </w:tc>
        <w:tc>
          <w:tcPr>
            <w:tcW w:type="dxa" w:w="3456"/>
            <w:vAlign w:val="center"/>
          </w:tcPr>
          <w:p>
            <w:r>
              <w:t>Explicit proof and approval required</w:t>
            </w:r>
          </w:p>
        </w:tc>
      </w:tr>
    </w:tbl>
    <w:p>
      <w:pPr>
        <w:pStyle w:val="Heading1"/>
      </w:pPr>
      <w:r>
        <w:t>6. Controlled Uniformity and Standard Page Structure</w:t>
      </w:r>
    </w:p>
    <w:p>
      <w:pPr>
        <w:pStyle w:val="ListBullet"/>
      </w:pPr>
      <w:r>
        <w:t>Recurring publication identity is locked: masthead/logo treatment, typography families, grayscale language, standard header/footer, page margins, section-heading treatment, border/rule style, and overall information hierarchy.</w:t>
      </w:r>
    </w:p>
    <w:p>
      <w:pPr>
        <w:pStyle w:val="ListBullet"/>
      </w:pPr>
      <w:r>
        <w:t>The standard 2026 publication is 10 pages / five duplex sheets.</w:t>
      </w:r>
    </w:p>
    <w:p>
      <w:pPr>
        <w:pStyle w:val="ListBullet"/>
      </w:pPr>
      <w:r>
        <w:t>Pages 1–6 retain their established recurring information purposes while permitting controlled composition for actual weekly content.</w:t>
      </w:r>
    </w:p>
    <w:p>
      <w:pPr>
        <w:pStyle w:val="ListBullet"/>
      </w:pPr>
      <w:r>
        <w:t>Page 7 remains intentionally more editorially flexible under Mark's weekly research and editorial direction.</w:t>
      </w:r>
    </w:p>
    <w:p>
      <w:pPr>
        <w:pStyle w:val="ListBullet"/>
      </w:pPr>
      <w:r>
        <w:t>Page 8 is the Minden roster: a full-page game-day reference.</w:t>
      </w:r>
    </w:p>
    <w:p>
      <w:pPr>
        <w:pStyle w:val="ListBullet"/>
      </w:pPr>
      <w:r>
        <w:t>Page 9 is the opponent roster: a full-page game-day reference.</w:t>
      </w:r>
    </w:p>
    <w:p>
      <w:pPr>
        <w:pStyle w:val="ListBullet"/>
      </w:pPr>
      <w:r>
        <w:t>Pages 8–9 prioritize large, quickly readable roster information over decorative density or minimizing page count. Exact roster geometry may be refined under the Production Guide's readability rules.</w:t>
      </w:r>
    </w:p>
    <w:p>
      <w:pPr>
        <w:pStyle w:val="ListBullet"/>
      </w:pPr>
      <w:r>
        <w:t>Page 10 is the intentionally minimal Notes page, preserving useful writable workspace.</w:t>
      </w:r>
    </w:p>
    <w:p>
      <w:pPr>
        <w:pStyle w:val="ListBullet"/>
      </w:pPr>
      <w:r>
        <w:t>Page purposes and recurring information architecture remain stable from week to week.</w:t>
      </w:r>
    </w:p>
    <w:p>
      <w:pPr>
        <w:pStyle w:val="ListBullet"/>
      </w:pPr>
      <w:r>
        <w:t>Box heights, column balance, spacing, and editorial-region proportions may change when the week's material requires it.</w:t>
      </w:r>
    </w:p>
    <w:p>
      <w:pPr>
        <w:pStyle w:val="ListBullet"/>
      </w:pPr>
      <w:r>
        <w:t>Weekly variation must solve a content or readability need. Arbitrary stylistic experimentation is not permitted.</w:t>
      </w:r>
    </w:p>
    <w:p>
      <w:pPr>
        <w:pStyle w:val="ListBullet"/>
      </w:pPr>
      <w:r>
        <w:t>Operational source/update details for Pages 8–10 are governed by the current 2026 Production Guide.</w:t>
      </w:r>
    </w:p>
    <w:p>
      <w:pPr>
        <w:pStyle w:val="Heading1"/>
      </w:pPr>
      <w:r>
        <w:t>7. Visual System Governance</w:t>
      </w:r>
    </w:p>
    <w:p>
      <w:r>
        <w:t>The publication uses a grayscale-safe visual system. Black-and-white printing does not require visual flatness.</w:t>
      </w:r>
    </w:p>
    <w:p>
      <w:pPr>
        <w:pStyle w:val="ListBullet"/>
      </w:pPr>
      <w:r>
        <w:t>Black — primary hierarchy and strongest emphasis.</w:t>
      </w:r>
    </w:p>
    <w:p>
      <w:pPr>
        <w:pStyle w:val="ListBullet"/>
      </w:pPr>
      <w:r>
        <w:t>Dark gray — secondary emphasis.</w:t>
      </w:r>
    </w:p>
    <w:p>
      <w:pPr>
        <w:pStyle w:val="ListBullet"/>
      </w:pPr>
      <w:r>
        <w:t>Light gray — inset panels, table/header differentiation, and selected callouts.</w:t>
      </w:r>
    </w:p>
    <w:p>
      <w:pPr>
        <w:pStyle w:val="ListBullet"/>
      </w:pPr>
      <w:r>
        <w:t>White — normal content field.</w:t>
      </w:r>
    </w:p>
    <w:p>
      <w:pPr>
        <w:pStyle w:val="ListBullet"/>
      </w:pPr>
      <w:r>
        <w:t>Use strong, normal, and light rule weights rather than assigning every line equal visual weight.</w:t>
      </w:r>
    </w:p>
    <w:p>
      <w:pPr>
        <w:pStyle w:val="ListBullet"/>
      </w:pPr>
      <w:r>
        <w:t>Impact — display headings, major section bars, prominent numbers, and intentional callouts.</w:t>
      </w:r>
    </w:p>
    <w:p>
      <w:pPr>
        <w:pStyle w:val="ListBullet"/>
      </w:pPr>
      <w:r>
        <w:t>Arial Narrow — ordinary body/data text.</w:t>
      </w:r>
    </w:p>
    <w:p>
      <w:pPr>
        <w:pStyle w:val="ListBullet"/>
      </w:pPr>
      <w:r>
        <w:t>Arial Narrow Bold or governed synthetic bold — ordinary informational labels.</w:t>
      </w:r>
    </w:p>
    <w:p>
      <w:pPr>
        <w:pStyle w:val="ListBullet"/>
      </w:pPr>
      <w:r>
        <w:t>Do not introduce additional font families without explicit visual-system approval.</w:t>
      </w:r>
    </w:p>
    <w:p>
      <w:pPr>
        <w:pStyle w:val="ListBullet"/>
      </w:pPr>
      <w:r>
        <w:t>Prefer reusable visual primitives over page-specific styling hacks.</w:t>
      </w:r>
    </w:p>
    <w:p>
      <w:pPr>
        <w:pStyle w:val="Heading1"/>
      </w:pPr>
      <w:r>
        <w:t>8. Visual Reference Master Rule</w:t>
      </w:r>
    </w:p>
    <w:p>
      <w:r>
        <w:t>Approved pages are designated Visual Reference Masters. They establish the expected publication quality, hierarchy, density, typography, recurring treatments, and overall character. They are comparison authorities for continuity, not exact coordinate regression targets. Each accepted weekly edition may also serve as an additional reference showing how the publication adapts to different content.</w:t>
      </w:r>
    </w:p>
    <w:p>
      <w:pPr>
        <w:pStyle w:val="ListBullet"/>
      </w:pPr>
      <w:r>
        <w:t>Visual Reference Masters are preserved and never overwritten by weekly output.</w:t>
      </w:r>
    </w:p>
    <w:p>
      <w:pPr>
        <w:pStyle w:val="ListBullet"/>
      </w:pPr>
      <w:r>
        <w:t>Permanent design revisions require a newly accepted reference proof or accepted weekly edition reflecting the change.</w:t>
      </w:r>
    </w:p>
    <w:p>
      <w:pPr>
        <w:pStyle w:val="ListBullet"/>
      </w:pPr>
      <w:r>
        <w:t>Rejected proofs and experiments are not baselines.</w:t>
      </w:r>
    </w:p>
    <w:p>
      <w:pPr>
        <w:pStyle w:val="ListBullet"/>
      </w:pPr>
      <w:r>
        <w:t>Automated bounds/regression checks supplement, but never replace, human visual review.</w:t>
      </w:r>
    </w:p>
    <w:p>
      <w:pPr>
        <w:pStyle w:val="Heading1"/>
      </w:pPr>
      <w:r>
        <w:t>9. Page Template Contracts</w:t>
      </w:r>
    </w:p>
    <w:p>
      <w:r>
        <w:t>Every accepted page receives a contract using these classifications:</w:t>
      </w:r>
    </w:p>
    <w:p>
      <w:pPr>
        <w:pStyle w:val="ListBullet"/>
      </w:pPr>
      <w:r>
        <w:t>LOCKED / STATIC — unchanged during normal weekly production.</w:t>
      </w:r>
    </w:p>
    <w:p>
      <w:pPr>
        <w:pStyle w:val="ListBullet"/>
      </w:pPr>
      <w:r>
        <w:t>WEEKLY EDITABLE — expected to change each week.</w:t>
      </w:r>
    </w:p>
    <w:p>
      <w:pPr>
        <w:pStyle w:val="ListBullet"/>
      </w:pPr>
      <w:r>
        <w:t>IMPORTED — populated from an approved source import.</w:t>
      </w:r>
    </w:p>
    <w:p>
      <w:pPr>
        <w:pStyle w:val="ListBullet"/>
      </w:pPr>
      <w:r>
        <w:t>CALCULATED — derived deterministically from verified underlying data.</w:t>
      </w:r>
    </w:p>
    <w:p>
      <w:pPr>
        <w:pStyle w:val="ListBullet"/>
      </w:pPr>
      <w:r>
        <w:t>CONDITIONAL — changes only when a documented condition occurs.</w:t>
      </w:r>
    </w:p>
    <w:p>
      <w:pPr>
        <w:pStyle w:val="ListBullet"/>
      </w:pPr>
      <w:r>
        <w:t>EDITORIAL — requires human judgment/composition.</w:t>
      </w:r>
    </w:p>
    <w:p>
      <w:pPr>
        <w:pStyle w:val="ListBullet"/>
      </w:pPr>
      <w:r>
        <w:t>VERIFY — cannot be publication-final until checked against the authoritative source.</w:t>
      </w:r>
    </w:p>
    <w:p>
      <w:pPr>
        <w:pStyle w:val="Heading1"/>
      </w:pPr>
      <w:r>
        <w:t>10. Data and Statistical Governance</w:t>
      </w:r>
    </w:p>
    <w:p>
      <w:pPr>
        <w:pStyle w:val="ListBullet"/>
      </w:pPr>
      <w:r>
        <w:t>Store/import an underlying statistic once and reference it wherever needed; do not maintain duplicate authoritative copies for separate pages.</w:t>
      </w:r>
    </w:p>
    <w:p>
      <w:pPr>
        <w:pStyle w:val="ListBullet"/>
      </w:pPr>
      <w:r>
        <w:t>PDF and Excel imports enter review/staging before acceptance into authoritative season data.</w:t>
      </w:r>
    </w:p>
    <w:p>
      <w:pPr>
        <w:pStyle w:val="ListBullet"/>
      </w:pPr>
      <w:r>
        <w:t>Calculated totals and percentages derive from verified underlying values rather than manually carrying forward displayed numbers, except where the Production Guide explicitly designates a source report's displayed value as the publication authority.</w:t>
      </w:r>
    </w:p>
    <w:p>
      <w:pPr>
        <w:pStyle w:val="ListBullet"/>
      </w:pPr>
      <w:r>
        <w:t>Retain source provenance where practical.</w:t>
      </w:r>
    </w:p>
    <w:p>
      <w:pPr>
        <w:pStyle w:val="ListBullet"/>
      </w:pPr>
      <w:r>
        <w:t>Unverified data may appear in working proofs but may not silently become final.</w:t>
      </w:r>
    </w:p>
    <w:p>
      <w:pPr>
        <w:pStyle w:val="ListBullet"/>
      </w:pPr>
      <w:r>
        <w:t>Final publication requires a full-package statistical/historical verification pass.</w:t>
      </w:r>
    </w:p>
    <w:p>
      <w:pPr>
        <w:pStyle w:val="Heading1"/>
      </w:pPr>
      <w:r>
        <w:t>11. Weekly Production Governance</w:t>
      </w:r>
    </w:p>
    <w:p>
      <w:pPr>
        <w:pStyle w:val="ListNumber"/>
      </w:pPr>
      <w:r>
        <w:t>Create/select the weekly project from the prior accepted project/publication baseline.</w:t>
      </w:r>
    </w:p>
    <w:p>
      <w:pPr>
        <w:pStyle w:val="ListNumber"/>
      </w:pPr>
      <w:r>
        <w:t>Refresh configured source locations and identify expected weekly source documents.</w:t>
      </w:r>
    </w:p>
    <w:p>
      <w:pPr>
        <w:pStyle w:val="ListNumber"/>
      </w:pPr>
      <w:r>
        <w:t>Review source status and import current statistics, schedules, rosters, ratings, and mapped record data as applicable.</w:t>
      </w:r>
    </w:p>
    <w:p>
      <w:pPr>
        <w:pStyle w:val="ListNumber"/>
      </w:pPr>
      <w:r>
        <w:t>Review and accept imported values; resolve validation failures and stale/missing-source conditions.</w:t>
      </w:r>
    </w:p>
    <w:p>
      <w:pPr>
        <w:pStyle w:val="ListNumber"/>
      </w:pPr>
      <w:r>
        <w:t>Run only the deterministic calculations and conditional historical updates authorized by the Production Guide.</w:t>
      </w:r>
    </w:p>
    <w:p>
      <w:pPr>
        <w:pStyle w:val="ListNumber"/>
      </w:pPr>
      <w:r>
        <w:t>Prepare page-specific information packages and complete editorial fields, including Mark-directed Page 7 composition.</w:t>
      </w:r>
    </w:p>
    <w:p>
      <w:pPr>
        <w:pStyle w:val="ListNumber"/>
      </w:pPr>
      <w:r>
        <w:t>Compose the complete 10-page publication from verified information and approved visual references.</w:t>
      </w:r>
    </w:p>
    <w:p>
      <w:pPr>
        <w:pStyle w:val="ListNumber"/>
      </w:pPr>
      <w:r>
        <w:t>Run technical validation and inspect for clipping, wrapping, overflow, stale data, hierarchy, and continuity.</w:t>
      </w:r>
    </w:p>
    <w:p>
      <w:pPr>
        <w:pStyle w:val="ListNumber"/>
      </w:pPr>
      <w:r>
        <w:t>Perform human visual review against the prior accepted edition and applicable Visual Reference Masters.</w:t>
      </w:r>
    </w:p>
    <w:p>
      <w:pPr>
        <w:pStyle w:val="ListNumber"/>
      </w:pPr>
      <w:r>
        <w:t>Perform final statistical/historical verification.</w:t>
      </w:r>
    </w:p>
    <w:p>
      <w:pPr>
        <w:pStyle w:val="ListNumber"/>
      </w:pPr>
      <w:r>
        <w:t>Export/publish only after all required gates pass.</w:t>
      </w:r>
    </w:p>
    <w:p>
      <w:pPr>
        <w:pStyle w:val="Heading1"/>
      </w:pPr>
      <w:r>
        <w:t>12. AI / Codex Governance</w:t>
      </w:r>
    </w:p>
    <w:p>
      <w:pPr>
        <w:pStyle w:val="ListBullet"/>
      </w:pPr>
      <w:r>
        <w:t>AI may acquire, parse, normalize, organize, cross-reference, and propose material; update governed variable content; analyze source data; and implement explicitly authorized work.</w:t>
      </w:r>
    </w:p>
    <w:p>
      <w:pPr>
        <w:pStyle w:val="ListBullet"/>
      </w:pPr>
      <w:r>
        <w:t>The Information Builder prepares verified information and readiness/preview outputs; it is not the autonomous authority for final publication design.</w:t>
      </w:r>
    </w:p>
    <w:p>
      <w:pPr>
        <w:pStyle w:val="ListBullet"/>
      </w:pPr>
      <w:r>
        <w:t>AI must not reinterpret publication identity because a new conversation lacks context.</w:t>
      </w:r>
    </w:p>
    <w:p>
      <w:pPr>
        <w:pStyle w:val="ListBullet"/>
      </w:pPr>
      <w:r>
        <w:t>AI must use the Governance Standard, Production Guide, page-specific rules, Visual Reference Masters, accepted prior editions, and authoritative weekly data rather than relying on conversational memory.</w:t>
      </w:r>
    </w:p>
    <w:p>
      <w:pPr>
        <w:pStyle w:val="ListBullet"/>
      </w:pPr>
      <w:r>
        <w:t>AI-generated visual experiments are not publication baselines until explicitly reviewed and approved.</w:t>
      </w:r>
    </w:p>
    <w:p>
      <w:pPr>
        <w:pStyle w:val="ListBullet"/>
      </w:pPr>
      <w:r>
        <w:t>If a required source/asset is missing, implementation stops rather than inventing a substitute that changes publication identity or factual authority.</w:t>
      </w:r>
    </w:p>
    <w:p>
      <w:pPr>
        <w:pStyle w:val="ListBullet"/>
      </w:pPr>
      <w:r>
        <w:t>Clean builds, valid PDFs, and passing tests are necessary but not sufficient for visual acceptance.</w:t>
      </w:r>
    </w:p>
    <w:p>
      <w:pPr>
        <w:pStyle w:val="Heading1"/>
      </w:pPr>
      <w:r>
        <w:t>13. Template / Publication Revision Procedure</w:t>
      </w:r>
    </w:p>
    <w:p>
      <w:pPr>
        <w:pStyle w:val="ListNumber"/>
      </w:pPr>
      <w:r>
        <w:t>Identify the specific limitation or desired change.</w:t>
      </w:r>
    </w:p>
    <w:p>
      <w:pPr>
        <w:pStyle w:val="ListNumber"/>
      </w:pPr>
      <w:r>
        <w:t>Classify the change under this governance standard.</w:t>
      </w:r>
    </w:p>
    <w:p>
      <w:pPr>
        <w:pStyle w:val="ListNumber"/>
      </w:pPr>
      <w:r>
        <w:t>Preserve the current accepted baseline.</w:t>
      </w:r>
    </w:p>
    <w:p>
      <w:pPr>
        <w:pStyle w:val="ListNumber"/>
      </w:pPr>
      <w:r>
        <w:t>Implement the smallest necessary change.</w:t>
      </w:r>
    </w:p>
    <w:p>
      <w:pPr>
        <w:pStyle w:val="ListNumber"/>
      </w:pPr>
      <w:r>
        <w:t>Produce an appropriate full-page proof or weekly composition for review when the change affects publication presentation.</w:t>
      </w:r>
    </w:p>
    <w:p>
      <w:pPr>
        <w:pStyle w:val="ListNumber"/>
      </w:pPr>
      <w:r>
        <w:t>Review visual, statistical, operational, and source-authority consequences.</w:t>
      </w:r>
    </w:p>
    <w:p>
      <w:pPr>
        <w:pStyle w:val="ListNumber"/>
      </w:pPr>
      <w:r>
        <w:t>Explicitly accept or reject the revision.</w:t>
      </w:r>
    </w:p>
    <w:p>
      <w:pPr>
        <w:pStyle w:val="ListNumber"/>
      </w:pPr>
      <w:r>
        <w:t>If accepted, update the applicable page rule/contract, Production Guide if needed, Visual Reference Master, and change log.</w:t>
      </w:r>
    </w:p>
    <w:p>
      <w:pPr>
        <w:pStyle w:val="ListNumber"/>
      </w:pPr>
      <w:r>
        <w:t>If rejected, revert to the prior accepted baseline.</w:t>
      </w:r>
    </w:p>
    <w:p>
      <w:pPr>
        <w:pStyle w:val="Heading1"/>
      </w:pPr>
      <w:r>
        <w:t>14. Current Page 1 Governance Status</w:t>
      </w:r>
    </w:p>
    <w:p>
      <w:r>
        <w:t>The custom Builder's Page 1 publication-rendering approach did not meet final visual acceptance and is not the production design baseline. Its useful data/import/verification concepts may be retained separately. The approved designed Page 1 and subsequent accepted weekly compositions serve as Visual Reference Masters. Page 1 will be composed week to week under this governance standard, preserving publication identity while permitting controlled layout adjustment when content requires it.</w:t>
      </w:r>
    </w:p>
    <w:p>
      <w:pPr>
        <w:pStyle w:val="Heading1"/>
      </w:pPr>
      <w:r>
        <w:t>15. Continuity Rule</w:t>
      </w:r>
    </w:p>
    <w:p>
      <w:r>
        <w:t>Conversation history is supplemental context only. The Governance Standard, Production Guide, page-specific rules, Visual Reference Masters, accepted prior editions, and authoritative weekly data are the durable sources of truth. A new conversation must consult those authorities rather than reconstructing the publication from memory.</w:t>
      </w:r>
    </w:p>
    <w:p>
      <w:pPr>
        <w:pStyle w:val="Heading1"/>
      </w:pPr>
      <w:r>
        <w:t>16. Minimum Necessary Change Rule</w:t>
      </w:r>
    </w:p>
    <w:p>
      <w:r>
        <w:t>When updating a page for a new week, retain as much of the previous accepted composition as practical. Change only what the new week's content requires, what improves fit/readability, or what has been explicitly requested. Do not redesign unaffected regions simply because recomposition is permitted.</w:t>
      </w:r>
    </w:p>
    <w:p>
      <w:pPr>
        <w:pStyle w:val="Heading1"/>
      </w:pPr>
      <w:r>
        <w:t>17. Weekly Visual Consistency Gate</w:t>
      </w:r>
    </w:p>
    <w:p>
      <w:r>
        <w:t>Before publication, compare each newly composed page against the prior accepted edition and the applicable Visual Reference Master. Review masthead identity, typography, hierarchy, section treatments, density, alignment, footer/header consistency, roster readability, and overall publication character. Controlled variation passes; unexplained stylistic drift does not.</w:t>
      </w:r>
    </w:p>
    <w:p>
      <w:pPr>
        <w:pStyle w:val="Heading1"/>
      </w:pPr>
      <w:r>
        <w:t>18. Change Log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Date</w:t>
            </w:r>
          </w:p>
        </w:tc>
        <w:tc>
          <w:tcPr>
            <w:tcW w:type="dxa" w:w="2592"/>
          </w:tcPr>
          <w:p>
            <w:r>
              <w:t>Page/System</w:t>
            </w:r>
          </w:p>
        </w:tc>
        <w:tc>
          <w:tcPr>
            <w:tcW w:type="dxa" w:w="2592"/>
          </w:tcPr>
          <w:p>
            <w:r>
              <w:t>Change</w:t>
            </w:r>
          </w:p>
        </w:tc>
        <w:tc>
          <w:tcPr>
            <w:tcW w:type="dxa" w:w="2592"/>
          </w:tcPr>
          <w:p>
            <w:r>
              <w:t>Approval</w:t>
            </w:r>
          </w:p>
        </w:tc>
      </w:tr>
      <w:tr>
        <w:tc>
          <w:tcPr>
            <w:tcW w:type="dxa" w:w="2592"/>
          </w:tcPr>
          <w:p>
            <w:r>
              <w:t>2026-08-23</w:t>
            </w:r>
          </w:p>
        </w:tc>
        <w:tc>
          <w:tcPr>
            <w:tcW w:type="dxa" w:w="2592"/>
          </w:tcPr>
          <w:p>
            <w:r>
              <w:t>Publication System</w:t>
            </w:r>
          </w:p>
        </w:tc>
        <w:tc>
          <w:tcPr>
            <w:tcW w:type="dxa" w:w="2592"/>
          </w:tcPr>
          <w:p>
            <w:r>
              <w:t>Shifted from rigid template/Golden Master governance to controlled weekly composition with Visual Reference Masters.</w:t>
            </w:r>
          </w:p>
        </w:tc>
        <w:tc>
          <w:tcPr>
            <w:tcW w:type="dxa" w:w="2592"/>
          </w:tcPr>
          <w:p>
            <w:r>
              <w:t>Approved direction</w:t>
            </w:r>
          </w:p>
        </w:tc>
      </w:tr>
      <w:tr>
        <w:tc>
          <w:tcPr>
            <w:tcW w:type="dxa" w:w="2592"/>
          </w:tcPr>
          <w:p>
            <w:r>
              <w:t>2026-08-23</w:t>
            </w:r>
          </w:p>
        </w:tc>
        <w:tc>
          <w:tcPr>
            <w:tcW w:type="dxa" w:w="2592"/>
          </w:tcPr>
          <w:p>
            <w:r>
              <w:t>Publication Structure</w:t>
            </w:r>
          </w:p>
        </w:tc>
        <w:tc>
          <w:tcPr>
            <w:tcW w:type="dxa" w:w="2592"/>
          </w:tcPr>
          <w:p>
            <w:r>
              <w:t>Synchronized governance to the accepted 10-page / five-duplex-sheet structure: Page 8 Minden roster, Page 9 opponent roster, Page 10 Notes; added roster readability priority and aligned Information Builder boundaries.</w:t>
            </w:r>
          </w:p>
        </w:tc>
        <w:tc>
          <w:tcPr>
            <w:tcW w:type="dxa" w:w="2592"/>
          </w:tcPr>
          <w:p>
            <w:r>
              <w:t>Approved direction</w:t>
            </w:r>
          </w:p>
        </w:tc>
      </w:tr>
    </w:tbl>
    <w:p>
      <w:pPr>
        <w:jc w:val="center"/>
      </w:pPr>
      <w:r>
        <w:rPr>
          <w:b/>
        </w:rPr>
        <w:t>GOVERNING PRINCIPLE: PRESERVE THE IDENTITY. COMPOSE FOR THE CONTENT.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