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 xml:space="preserve">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7850" cy="2365375"/>
            <wp:effectExtent l="0" t="0" r="635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1.新建项目工程文件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17754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图1.项目工程文件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进行ui界面布局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639570"/>
            <wp:effectExtent l="0" t="0" r="152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ui界面布局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代码编写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槽函数代码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lang w:val="en-US" w:eastAsia="zh-CN"/>
        </w:rPr>
        <w:t>Assignm7 test</w:t>
      </w:r>
    </w:p>
    <w:p>
      <w:pPr>
        <w:numPr>
          <w:ilvl w:val="0"/>
          <w:numId w:val="0"/>
        </w:numPr>
        <w:ind w:leftChars="0"/>
        <w:jc w:val="both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2494915"/>
            <wp:effectExtent l="0" t="0" r="635" b="635"/>
            <wp:docPr id="3" name="图片 3" descr="%(OLJ0KB$6RG_JW%NGQ1J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(OLJ0KB$6RG_JW%NGQ1J2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529DA"/>
    <w:multiLevelType w:val="singleLevel"/>
    <w:tmpl w:val="140529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1D124D5"/>
    <w:rsid w:val="08484098"/>
    <w:rsid w:val="71D124D5"/>
    <w:rsid w:val="7A8A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2023-05-17T12:16:00Z</dcterms:created>
  <dc:creator>陪我一起吃烤肉吧</dc:creator>
  <cp:lastModifiedBy>Cccc</cp:lastModifiedBy>
  <dcterms:modified xsi:type="dcterms:W3CDTF">2023-07-06T09:20:48Z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E7666598D7604FF3A28BE0B76887C41C_11</vt:lpwstr>
  </property>
</Properties>
</file>