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2023</w:t>
      </w:r>
    </w:p>
    <w:p/>
    <w:p>
      <w:pPr>
        <w:jc w:val="center"/>
      </w:pPr>
      <w:r>
        <w:rPr>
          <w:rFonts w:ascii="Arial" w:hAnsi="Arial"/>
          <w:sz w:val="22"/>
        </w:rPr>
        <w:t>Institution: GENERIC_FI_001</w:t>
      </w:r>
    </w:p>
    <w:p>
      <w:pPr>
        <w:jc w:val="center"/>
      </w:pPr>
      <w:r>
        <w:rPr>
          <w:rFonts w:ascii="Arial" w:hAnsi="Arial"/>
          <w:sz w:val="22"/>
        </w:rPr>
        <w:t>Framework: GRI_305</w:t>
      </w:r>
    </w:p>
    <w:p>
      <w:pPr>
        <w:jc w:val="center"/>
      </w:pPr>
      <w:r>
        <w:rPr>
          <w:rFonts w:ascii="Arial" w:hAnsi="Arial"/>
          <w:sz w:val="22"/>
        </w:rPr>
        <w:t>Generated: 2026-06-10 04:55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end"/>
      </w:r>
    </w:p>
    <w:p>
      <w:r>
        <w:t>(Update this field in Word: Ctrl+A → F9)</w:t>
      </w:r>
    </w:p>
    <w:p>
      <w:r>
        <w:br w:type="page"/>
      </w:r>
    </w:p>
    <w:p>
      <w:pPr>
        <w:pStyle w:val="Heading1"/>
        <w:keepNext/>
        <w:spacing w:before="480" w:after="240"/>
      </w:pPr>
      <w:r>
        <w:rPr>
          <w:rFonts w:ascii="Arial" w:hAnsi="Arial"/>
          <w:b/>
          <w:color w:val="1B3A6B"/>
          <w:sz w:val="36"/>
        </w:rPr>
        <w:t>GRI 305-1: Direct (Scope 1) GHG Emissions</w:t>
      </w:r>
    </w:p>
    <w:p>
      <w:pPr>
        <w:spacing w:after="160" w:line="276" w:lineRule="auto"/>
        <w:jc w:val="both"/>
      </w:pPr>
      <w:r>
        <w:rPr>
          <w:rFonts w:ascii="Arial" w:hAnsi="Arial"/>
          <w:sz w:val="22"/>
        </w:rPr>
        <w:t>The organization's gross direct (Scope 1) GHG emissions for the reporting period totaled 3324.521 metric tons of CO₂ equivalent (tCO₂e). These emissions arise from stationary combustion sources under the organization's operational control, specifically natural gas consumption in building heating systems and diesel fuel combustion in backup generators and emergency power systems. The organization applies operational control as the consolidation approach, consistent with the GHG Protocol Corporate Accounting and Reporting Standard (2015 revision).</w:t>
      </w:r>
    </w:p>
    <w:p>
      <w:pPr>
        <w:spacing w:after="160" w:line="276" w:lineRule="auto"/>
        <w:jc w:val="both"/>
      </w:pPr>
      <w:r>
        <w:rPr>
          <w:rFonts w:ascii="Arial" w:hAnsi="Arial"/>
          <w:sz w:val="22"/>
        </w:rPr>
        <w:t>The composition of Scope 1 emissions by fuel source is as follows: natural gas combustion contributed 1199.0321 tCO₂e (36.1% of total Scope 1), while diesel fuel combustion accounted for 2125.4888 tCO₂e (63.9% of total Scope 1). The higher proportion of diesel-related emissions reflects the organization's reliance on backup power generation across its branch network, particularly in facilities without grid redundancy. Natural gas emissions derive primarily from heating, ventilation, and air conditioning (HVAC) systems in the organization's ten largest operational facilities.</w:t>
      </w:r>
    </w:p>
    <w:p>
      <w:pPr>
        <w:spacing w:after="160" w:line="276" w:lineRule="auto"/>
        <w:jc w:val="both"/>
      </w:pPr>
      <w:r>
        <w:rPr>
          <w:rFonts w:ascii="Arial" w:hAnsi="Arial"/>
          <w:i/>
          <w:sz w:val="22"/>
        </w:rPr>
        <w:t>Emission factors applied in the calculation are sourced from Indonesia's Ministry of Energy and Mineral Resources (MEMR) National Emission Factor Database (2022 edition) for stationary combustion sources. For natural gas, the emission factor of 56.1 kgCO₂e/GJ was applied to total consumption of 21,370.57 GJ. For diesel fuel, the emission factor of 2.571 kgCO₂e/liter was applied to total consumption of 826,806.6 liters across all facilities. Global Warming Potential (GWP) values are based on the Intergovernmental Panel on Climate Change (IPCC) Sixth Assessment Report (AR6) with a 100-year time horizon: CO₂ = 1, CH₄ = 29.8, N₂O = 273.0. All three gases (CO₂, CH₄, N₂O) are included in the calculation as they are material to combustion processes.</w:t>
      </w:r>
    </w:p>
    <w:p>
      <w:pPr>
        <w:spacing w:after="160" w:line="276" w:lineRule="auto"/>
        <w:jc w:val="both"/>
      </w:pPr>
      <w:r>
        <w:rPr>
          <w:rFonts w:ascii="Arial" w:hAnsi="Arial"/>
          <w:sz w:val="22"/>
        </w:rPr>
        <w:t>This data point is not yet captured in the institution's reporting system. GRI 305-1 requires disclosure of biogenic CO₂ emissions separately from gross Scope 1 emissions. Biogenic CO₂ arises from the combustion or biodegradation of biomass, such as biofuels or wood. The organization should assess whether any fuel sources contain biogenic content (e.g., biodiesel blends) and, if material, quantify and report biogenic CO₂ separately. DBS Group, for example, reports biogenic emissions separately in its sustainability disclosures when renewable diesel blends are used in backup generators.</w:t>
      </w:r>
    </w:p>
    <w:p>
      <w:pPr>
        <w:spacing w:after="160" w:line="276" w:lineRule="auto"/>
        <w:jc w:val="both"/>
      </w:pPr>
      <w:r>
        <w:rPr>
          <w:rFonts w:ascii="Arial" w:hAnsi="Arial"/>
          <w:sz w:val="22"/>
        </w:rPr>
        <w:t>This data point is not yet captured in the institution's reporting system. GRI 305-1 requires establishment of a base year for emissions tracking, including the rationale for its selection, base year emissions values, and the context for any significant changes triggering base year recalculations. The organization should designate a base year (typically the earliest year with reliable data or a year of significant operational change) and document the methodology for recalculating base year emissions if structural changes occur (e.g., mergers, acquisitions, divestments, or changes in calculation methodology). Bank Rakyat Indonesia (BRI) established 2021 as its base year aligned with its Science Based Targets initiative (SBTi) commitment, becoming the first Indonesian financial institution to submit an SBTi commitment letter.</w:t>
      </w:r>
    </w:p>
    <w:p>
      <w:pPr>
        <w:spacing w:after="160" w:line="276" w:lineRule="auto"/>
        <w:jc w:val="both"/>
      </w:pPr>
      <w:r>
        <w:rPr>
          <w:rFonts w:ascii="Arial" w:hAnsi="Arial"/>
          <w:sz w:val="22"/>
        </w:rPr>
        <w:t>Year-over-year comparison is not available for the current reporting period as prior year Scope 1 data has not been captured in the organization's reporting system. Future disclosures will include trend analysis once multi-year data is established.</w:t>
      </w:r>
    </w:p>
    <w:p>
      <w:r>
        <w:rPr>
          <w:rFonts w:ascii="Arial" w:hAnsi="Arial"/>
          <w:b/>
          <w:sz w:val="20"/>
        </w:rPr>
        <w:t>Table 1: Scope 1 GHG Emissions by Source (2023)</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Emission Source</w:t>
            </w:r>
          </w:p>
        </w:tc>
        <w:tc>
          <w:tcPr>
            <w:tcW w:type="dxa" w:w="1806"/>
            <w:shd w:fill="1B3A6B" w:val="clear"/>
          </w:tcPr>
          <w:p>
            <w:r>
              <w:rPr>
                <w:rFonts w:ascii="Arial" w:hAnsi="Arial"/>
                <w:b/>
                <w:color w:val="FFFFFF"/>
                <w:sz w:val="18"/>
              </w:rPr>
              <w:t>Fuel Consumption</w:t>
            </w:r>
          </w:p>
        </w:tc>
        <w:tc>
          <w:tcPr>
            <w:tcW w:type="dxa" w:w="1806"/>
            <w:shd w:fill="1B3A6B" w:val="clear"/>
          </w:tcPr>
          <w:p>
            <w:r>
              <w:rPr>
                <w:rFonts w:ascii="Arial" w:hAnsi="Arial"/>
                <w:b/>
                <w:color w:val="FFFFFF"/>
                <w:sz w:val="18"/>
              </w:rPr>
              <w:t>Emission Factor</w:t>
            </w:r>
          </w:p>
        </w:tc>
        <w:tc>
          <w:tcPr>
            <w:tcW w:type="dxa" w:w="1806"/>
            <w:shd w:fill="1B3A6B" w:val="clear"/>
          </w:tcPr>
          <w:p>
            <w:r>
              <w:rPr>
                <w:rFonts w:ascii="Arial" w:hAnsi="Arial"/>
                <w:b/>
                <w:color w:val="FFFFFF"/>
                <w:sz w:val="18"/>
              </w:rPr>
              <w:t>GHG Emissions (tCO₂e)</w:t>
            </w:r>
          </w:p>
        </w:tc>
        <w:tc>
          <w:tcPr>
            <w:tcW w:type="dxa" w:w="1806"/>
            <w:shd w:fill="1B3A6B" w:val="clear"/>
          </w:tcPr>
          <w:p>
            <w:r>
              <w:rPr>
                <w:rFonts w:ascii="Arial" w:hAnsi="Arial"/>
                <w:b/>
                <w:color w:val="FFFFFF"/>
                <w:sz w:val="18"/>
              </w:rPr>
              <w:t>% of Total Scope 1</w:t>
            </w:r>
          </w:p>
        </w:tc>
      </w:tr>
      <w:tr>
        <w:tc>
          <w:tcPr>
            <w:tcW w:type="dxa" w:w="1806"/>
          </w:tcPr>
          <w:p>
            <w:r>
              <w:rPr>
                <w:rFonts w:ascii="Arial" w:hAnsi="Arial"/>
                <w:sz w:val="18"/>
              </w:rPr>
              <w:t>Natural Gas (Stationary Combustion)</w:t>
            </w:r>
          </w:p>
        </w:tc>
        <w:tc>
          <w:tcPr>
            <w:tcW w:type="dxa" w:w="1806"/>
          </w:tcPr>
          <w:p>
            <w:r>
              <w:rPr>
                <w:rFonts w:ascii="Arial" w:hAnsi="Arial"/>
                <w:sz w:val="18"/>
              </w:rPr>
              <w:t>21,370.57 GJ</w:t>
            </w:r>
          </w:p>
        </w:tc>
        <w:tc>
          <w:tcPr>
            <w:tcW w:type="dxa" w:w="1806"/>
          </w:tcPr>
          <w:p>
            <w:r>
              <w:rPr>
                <w:rFonts w:ascii="Arial" w:hAnsi="Arial"/>
                <w:sz w:val="18"/>
              </w:rPr>
              <w:t>56.1 kgCO₂e/GJ</w:t>
            </w:r>
          </w:p>
        </w:tc>
        <w:tc>
          <w:tcPr>
            <w:tcW w:type="dxa" w:w="1806"/>
          </w:tcPr>
          <w:p>
            <w:pPr>
              <w:jc w:val="right"/>
            </w:pPr>
            <w:r>
              <w:rPr>
                <w:rFonts w:ascii="Arial" w:hAnsi="Arial"/>
                <w:sz w:val="18"/>
              </w:rPr>
              <w:t>1,199.0321</w:t>
            </w:r>
          </w:p>
        </w:tc>
        <w:tc>
          <w:tcPr>
            <w:tcW w:type="dxa" w:w="1806"/>
          </w:tcPr>
          <w:p>
            <w:pPr>
              <w:jc w:val="right"/>
            </w:pPr>
            <w:r>
              <w:rPr>
                <w:rFonts w:ascii="Arial" w:hAnsi="Arial"/>
                <w:sz w:val="18"/>
              </w:rPr>
              <w:t>36.1%</w:t>
            </w:r>
          </w:p>
        </w:tc>
      </w:tr>
      <w:tr>
        <w:tc>
          <w:tcPr>
            <w:tcW w:type="dxa" w:w="1806"/>
            <w:shd w:fill="F2F6FC" w:val="clear"/>
          </w:tcPr>
          <w:p>
            <w:r>
              <w:rPr>
                <w:rFonts w:ascii="Arial" w:hAnsi="Arial"/>
                <w:sz w:val="18"/>
              </w:rPr>
              <w:t>Diesel Fuel (Backup Generators)</w:t>
            </w:r>
          </w:p>
        </w:tc>
        <w:tc>
          <w:tcPr>
            <w:tcW w:type="dxa" w:w="1806"/>
            <w:shd w:fill="F2F6FC" w:val="clear"/>
          </w:tcPr>
          <w:p>
            <w:r>
              <w:rPr>
                <w:rFonts w:ascii="Arial" w:hAnsi="Arial"/>
                <w:sz w:val="18"/>
              </w:rPr>
              <w:t>826,806.6 liters</w:t>
            </w:r>
          </w:p>
        </w:tc>
        <w:tc>
          <w:tcPr>
            <w:tcW w:type="dxa" w:w="1806"/>
            <w:shd w:fill="F2F6FC" w:val="clear"/>
          </w:tcPr>
          <w:p>
            <w:r>
              <w:rPr>
                <w:rFonts w:ascii="Arial" w:hAnsi="Arial"/>
                <w:sz w:val="18"/>
              </w:rPr>
              <w:t>2.571 kgCO₂e/liter</w:t>
            </w:r>
          </w:p>
        </w:tc>
        <w:tc>
          <w:tcPr>
            <w:tcW w:type="dxa" w:w="1806"/>
            <w:shd w:fill="F2F6FC" w:val="clear"/>
          </w:tcPr>
          <w:p>
            <w:pPr>
              <w:jc w:val="right"/>
            </w:pPr>
            <w:r>
              <w:rPr>
                <w:rFonts w:ascii="Arial" w:hAnsi="Arial"/>
                <w:sz w:val="18"/>
              </w:rPr>
              <w:t>2,125.4888</w:t>
            </w:r>
          </w:p>
        </w:tc>
        <w:tc>
          <w:tcPr>
            <w:tcW w:type="dxa" w:w="1806"/>
            <w:shd w:fill="F2F6FC" w:val="clear"/>
          </w:tcPr>
          <w:p>
            <w:pPr>
              <w:jc w:val="right"/>
            </w:pPr>
            <w:r>
              <w:rPr>
                <w:rFonts w:ascii="Arial" w:hAnsi="Arial"/>
                <w:sz w:val="18"/>
              </w:rPr>
              <w:t>63.9%</w:t>
            </w:r>
          </w:p>
        </w:tc>
      </w:tr>
      <w:tr>
        <w:tc>
          <w:tcPr>
            <w:tcW w:type="dxa" w:w="1806"/>
          </w:tcPr>
          <w:p>
            <w:r>
              <w:rPr>
                <w:rFonts w:ascii="Arial" w:hAnsi="Arial"/>
                <w:sz w:val="18"/>
              </w:rPr>
              <w:t>**Total Scope 1 Emissions**</w:t>
            </w:r>
          </w:p>
        </w:tc>
        <w:tc>
          <w:tcPr>
            <w:tcW w:type="dxa" w:w="1806"/>
          </w:tcPr>
          <w:p>
            <w:r>
              <w:rPr>
                <w:rFonts w:ascii="Arial" w:hAnsi="Arial"/>
                <w:sz w:val="18"/>
              </w:rPr>
              <w:t>—</w:t>
            </w:r>
          </w:p>
        </w:tc>
        <w:tc>
          <w:tcPr>
            <w:tcW w:type="dxa" w:w="1806"/>
          </w:tcPr>
          <w:p>
            <w:r>
              <w:rPr>
                <w:rFonts w:ascii="Arial" w:hAnsi="Arial"/>
                <w:sz w:val="18"/>
              </w:rPr>
              <w:t>—</w:t>
            </w:r>
          </w:p>
        </w:tc>
        <w:tc>
          <w:tcPr>
            <w:tcW w:type="dxa" w:w="1806"/>
          </w:tcPr>
          <w:p>
            <w:r>
              <w:rPr>
                <w:rFonts w:ascii="Arial" w:hAnsi="Arial"/>
                <w:sz w:val="18"/>
              </w:rPr>
              <w:t>**3,324.521**</w:t>
            </w:r>
          </w:p>
        </w:tc>
        <w:tc>
          <w:tcPr>
            <w:tcW w:type="dxa" w:w="1806"/>
          </w:tcPr>
          <w:p>
            <w:r>
              <w:rPr>
                <w:rFonts w:ascii="Arial" w:hAnsi="Arial"/>
                <w:sz w:val="18"/>
              </w:rPr>
              <w:t>**100.0%**</w:t>
            </w:r>
          </w:p>
        </w:tc>
      </w:tr>
    </w:tbl>
    <w:p>
      <w:r>
        <w:rPr>
          <w:rFonts w:ascii="Arial" w:hAnsi="Arial"/>
          <w:i/>
          <w:sz w:val="16"/>
        </w:rPr>
        <w:t>Source: Source: Internal energy consumption records; emission factors from MEMR National Emission Factor Database (2022). GWP values per IPCC AR6.</w:t>
      </w:r>
    </w:p>
    <w:p/>
    <w:p>
      <w:r>
        <w:rPr>
          <w:rFonts w:ascii="Arial" w:hAnsi="Arial"/>
          <w:b/>
          <w:sz w:val="20"/>
        </w:rPr>
        <w:t>Table 2: Top 10 Facilities by Scope 1 Emissions (2023)</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Facility ID</w:t>
            </w:r>
          </w:p>
        </w:tc>
        <w:tc>
          <w:tcPr>
            <w:tcW w:type="dxa" w:w="1806"/>
            <w:shd w:fill="1B3A6B" w:val="clear"/>
          </w:tcPr>
          <w:p>
            <w:r>
              <w:rPr>
                <w:rFonts w:ascii="Arial" w:hAnsi="Arial"/>
                <w:b/>
                <w:color w:val="FFFFFF"/>
                <w:sz w:val="18"/>
              </w:rPr>
              <w:t>Natural Gas (tCO₂e)</w:t>
            </w:r>
          </w:p>
        </w:tc>
        <w:tc>
          <w:tcPr>
            <w:tcW w:type="dxa" w:w="1806"/>
            <w:shd w:fill="1B3A6B" w:val="clear"/>
          </w:tcPr>
          <w:p>
            <w:r>
              <w:rPr>
                <w:rFonts w:ascii="Arial" w:hAnsi="Arial"/>
                <w:b/>
                <w:color w:val="FFFFFF"/>
                <w:sz w:val="18"/>
              </w:rPr>
              <w:t>Diesel (tCO₂e)</w:t>
            </w:r>
          </w:p>
        </w:tc>
        <w:tc>
          <w:tcPr>
            <w:tcW w:type="dxa" w:w="1806"/>
            <w:shd w:fill="1B3A6B" w:val="clear"/>
          </w:tcPr>
          <w:p>
            <w:r>
              <w:rPr>
                <w:rFonts w:ascii="Arial" w:hAnsi="Arial"/>
                <w:b/>
                <w:color w:val="FFFFFF"/>
                <w:sz w:val="18"/>
              </w:rPr>
              <w:t>Total Scope 1 (tCO₂e)</w:t>
            </w:r>
          </w:p>
        </w:tc>
        <w:tc>
          <w:tcPr>
            <w:tcW w:type="dxa" w:w="1806"/>
            <w:shd w:fill="1B3A6B" w:val="clear"/>
          </w:tcPr>
          <w:p>
            <w:r>
              <w:rPr>
                <w:rFonts w:ascii="Arial" w:hAnsi="Arial"/>
                <w:b/>
                <w:color w:val="FFFFFF"/>
                <w:sz w:val="18"/>
              </w:rPr>
              <w:t>Data Quality Score</w:t>
            </w:r>
          </w:p>
        </w:tc>
      </w:tr>
      <w:tr>
        <w:tc>
          <w:tcPr>
            <w:tcW w:type="dxa" w:w="1806"/>
          </w:tcPr>
          <w:p>
            <w:r>
              <w:rPr>
                <w:rFonts w:ascii="Arial" w:hAnsi="Arial"/>
                <w:sz w:val="18"/>
              </w:rPr>
              <w:t>FAC-0200</w:t>
            </w:r>
          </w:p>
        </w:tc>
        <w:tc>
          <w:tcPr>
            <w:tcW w:type="dxa" w:w="1806"/>
          </w:tcPr>
          <w:p>
            <w:pPr>
              <w:jc w:val="right"/>
            </w:pPr>
            <w:r>
              <w:rPr>
                <w:rFonts w:ascii="Arial" w:hAnsi="Arial"/>
                <w:sz w:val="18"/>
              </w:rPr>
              <w:t>59.8382</w:t>
            </w:r>
          </w:p>
        </w:tc>
        <w:tc>
          <w:tcPr>
            <w:tcW w:type="dxa" w:w="1806"/>
          </w:tcPr>
          <w:p>
            <w:pPr>
              <w:jc w:val="right"/>
            </w:pPr>
            <w:r>
              <w:rPr>
                <w:rFonts w:ascii="Arial" w:hAnsi="Arial"/>
                <w:sz w:val="18"/>
              </w:rPr>
              <w:t>78.0935</w:t>
            </w:r>
          </w:p>
        </w:tc>
        <w:tc>
          <w:tcPr>
            <w:tcW w:type="dxa" w:w="1806"/>
          </w:tcPr>
          <w:p>
            <w:pPr>
              <w:jc w:val="right"/>
            </w:pPr>
            <w:r>
              <w:rPr>
                <w:rFonts w:ascii="Arial" w:hAnsi="Arial"/>
                <w:sz w:val="18"/>
              </w:rPr>
              <w:t>137.9317</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FAC-0196</w:t>
            </w:r>
          </w:p>
        </w:tc>
        <w:tc>
          <w:tcPr>
            <w:tcW w:type="dxa" w:w="1806"/>
            <w:shd w:fill="F2F6FC" w:val="clear"/>
          </w:tcPr>
          <w:p>
            <w:pPr>
              <w:jc w:val="right"/>
            </w:pPr>
            <w:r>
              <w:rPr>
                <w:rFonts w:ascii="Arial" w:hAnsi="Arial"/>
                <w:sz w:val="18"/>
              </w:rPr>
              <w:t>62.1715</w:t>
            </w:r>
          </w:p>
        </w:tc>
        <w:tc>
          <w:tcPr>
            <w:tcW w:type="dxa" w:w="1806"/>
            <w:shd w:fill="F2F6FC" w:val="clear"/>
          </w:tcPr>
          <w:p>
            <w:pPr>
              <w:jc w:val="right"/>
            </w:pPr>
            <w:r>
              <w:rPr>
                <w:rFonts w:ascii="Arial" w:hAnsi="Arial"/>
                <w:sz w:val="18"/>
              </w:rPr>
              <w:t>75.3667</w:t>
            </w:r>
          </w:p>
        </w:tc>
        <w:tc>
          <w:tcPr>
            <w:tcW w:type="dxa" w:w="1806"/>
            <w:shd w:fill="F2F6FC" w:val="clear"/>
          </w:tcPr>
          <w:p>
            <w:pPr>
              <w:jc w:val="right"/>
            </w:pPr>
            <w:r>
              <w:rPr>
                <w:rFonts w:ascii="Arial" w:hAnsi="Arial"/>
                <w:sz w:val="18"/>
              </w:rPr>
              <w:t>137.5382</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FAC-0198</w:t>
            </w:r>
          </w:p>
        </w:tc>
        <w:tc>
          <w:tcPr>
            <w:tcW w:type="dxa" w:w="1806"/>
          </w:tcPr>
          <w:p>
            <w:pPr>
              <w:jc w:val="right"/>
            </w:pPr>
            <w:r>
              <w:rPr>
                <w:rFonts w:ascii="Arial" w:hAnsi="Arial"/>
                <w:sz w:val="18"/>
              </w:rPr>
              <w:t>57.0949</w:t>
            </w:r>
          </w:p>
        </w:tc>
        <w:tc>
          <w:tcPr>
            <w:tcW w:type="dxa" w:w="1806"/>
          </w:tcPr>
          <w:p>
            <w:pPr>
              <w:jc w:val="right"/>
            </w:pPr>
            <w:r>
              <w:rPr>
                <w:rFonts w:ascii="Arial" w:hAnsi="Arial"/>
                <w:sz w:val="18"/>
              </w:rPr>
              <w:t>65.3244</w:t>
            </w:r>
          </w:p>
        </w:tc>
        <w:tc>
          <w:tcPr>
            <w:tcW w:type="dxa" w:w="1806"/>
          </w:tcPr>
          <w:p>
            <w:pPr>
              <w:jc w:val="right"/>
            </w:pPr>
            <w:r>
              <w:rPr>
                <w:rFonts w:ascii="Arial" w:hAnsi="Arial"/>
                <w:sz w:val="18"/>
              </w:rPr>
              <w:t>122.4193</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FAC-0197</w:t>
            </w:r>
          </w:p>
        </w:tc>
        <w:tc>
          <w:tcPr>
            <w:tcW w:type="dxa" w:w="1806"/>
            <w:shd w:fill="F2F6FC" w:val="clear"/>
          </w:tcPr>
          <w:p>
            <w:pPr>
              <w:jc w:val="right"/>
            </w:pPr>
            <w:r>
              <w:rPr>
                <w:rFonts w:ascii="Arial" w:hAnsi="Arial"/>
                <w:sz w:val="18"/>
              </w:rPr>
              <w:t>52.0621</w:t>
            </w:r>
          </w:p>
        </w:tc>
        <w:tc>
          <w:tcPr>
            <w:tcW w:type="dxa" w:w="1806"/>
            <w:shd w:fill="F2F6FC" w:val="clear"/>
          </w:tcPr>
          <w:p>
            <w:pPr>
              <w:jc w:val="right"/>
            </w:pPr>
            <w:r>
              <w:rPr>
                <w:rFonts w:ascii="Arial" w:hAnsi="Arial"/>
                <w:sz w:val="18"/>
              </w:rPr>
              <w:t>66.0587</w:t>
            </w:r>
          </w:p>
        </w:tc>
        <w:tc>
          <w:tcPr>
            <w:tcW w:type="dxa" w:w="1806"/>
            <w:shd w:fill="F2F6FC" w:val="clear"/>
          </w:tcPr>
          <w:p>
            <w:pPr>
              <w:jc w:val="right"/>
            </w:pPr>
            <w:r>
              <w:rPr>
                <w:rFonts w:ascii="Arial" w:hAnsi="Arial"/>
                <w:sz w:val="18"/>
              </w:rPr>
              <w:t>118.1208</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FAC-0199</w:t>
            </w:r>
          </w:p>
        </w:tc>
        <w:tc>
          <w:tcPr>
            <w:tcW w:type="dxa" w:w="1806"/>
          </w:tcPr>
          <w:p>
            <w:pPr>
              <w:jc w:val="right"/>
            </w:pPr>
            <w:r>
              <w:rPr>
                <w:rFonts w:ascii="Arial" w:hAnsi="Arial"/>
                <w:sz w:val="18"/>
              </w:rPr>
              <w:t>43.2640</w:t>
            </w:r>
          </w:p>
        </w:tc>
        <w:tc>
          <w:tcPr>
            <w:tcW w:type="dxa" w:w="1806"/>
          </w:tcPr>
          <w:p>
            <w:pPr>
              <w:jc w:val="right"/>
            </w:pPr>
            <w:r>
              <w:rPr>
                <w:rFonts w:ascii="Arial" w:hAnsi="Arial"/>
                <w:sz w:val="18"/>
              </w:rPr>
              <w:t>55.2493</w:t>
            </w:r>
          </w:p>
        </w:tc>
        <w:tc>
          <w:tcPr>
            <w:tcW w:type="dxa" w:w="1806"/>
          </w:tcPr>
          <w:p>
            <w:pPr>
              <w:jc w:val="right"/>
            </w:pPr>
            <w:r>
              <w:rPr>
                <w:rFonts w:ascii="Arial" w:hAnsi="Arial"/>
                <w:sz w:val="18"/>
              </w:rPr>
              <w:t>98.5133</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FAC-0187</w:t>
            </w:r>
          </w:p>
        </w:tc>
        <w:tc>
          <w:tcPr>
            <w:tcW w:type="dxa" w:w="1806"/>
            <w:shd w:fill="F2F6FC" w:val="clear"/>
          </w:tcPr>
          <w:p>
            <w:pPr>
              <w:jc w:val="right"/>
            </w:pPr>
            <w:r>
              <w:rPr>
                <w:rFonts w:ascii="Arial" w:hAnsi="Arial"/>
                <w:sz w:val="18"/>
              </w:rPr>
              <w:t>0.0000</w:t>
            </w:r>
          </w:p>
        </w:tc>
        <w:tc>
          <w:tcPr>
            <w:tcW w:type="dxa" w:w="1806"/>
            <w:shd w:fill="F2F6FC" w:val="clear"/>
          </w:tcPr>
          <w:p>
            <w:pPr>
              <w:jc w:val="right"/>
            </w:pPr>
            <w:r>
              <w:rPr>
                <w:rFonts w:ascii="Arial" w:hAnsi="Arial"/>
                <w:sz w:val="18"/>
              </w:rPr>
              <w:t>73.4301</w:t>
            </w:r>
          </w:p>
        </w:tc>
        <w:tc>
          <w:tcPr>
            <w:tcW w:type="dxa" w:w="1806"/>
            <w:shd w:fill="F2F6FC" w:val="clear"/>
          </w:tcPr>
          <w:p>
            <w:pPr>
              <w:jc w:val="right"/>
            </w:pPr>
            <w:r>
              <w:rPr>
                <w:rFonts w:ascii="Arial" w:hAnsi="Arial"/>
                <w:sz w:val="18"/>
              </w:rPr>
              <w:t>73.4301</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FAC-0217</w:t>
            </w:r>
          </w:p>
        </w:tc>
        <w:tc>
          <w:tcPr>
            <w:tcW w:type="dxa" w:w="1806"/>
          </w:tcPr>
          <w:p>
            <w:pPr>
              <w:jc w:val="right"/>
            </w:pPr>
            <w:r>
              <w:rPr>
                <w:rFonts w:ascii="Arial" w:hAnsi="Arial"/>
                <w:sz w:val="18"/>
              </w:rPr>
              <w:t>29.8503</w:t>
            </w:r>
          </w:p>
        </w:tc>
        <w:tc>
          <w:tcPr>
            <w:tcW w:type="dxa" w:w="1806"/>
          </w:tcPr>
          <w:p>
            <w:pPr>
              <w:jc w:val="right"/>
            </w:pPr>
            <w:r>
              <w:rPr>
                <w:rFonts w:ascii="Arial" w:hAnsi="Arial"/>
                <w:sz w:val="18"/>
              </w:rPr>
              <w:t>39.3361</w:t>
            </w:r>
          </w:p>
        </w:tc>
        <w:tc>
          <w:tcPr>
            <w:tcW w:type="dxa" w:w="1806"/>
          </w:tcPr>
          <w:p>
            <w:pPr>
              <w:jc w:val="right"/>
            </w:pPr>
            <w:r>
              <w:rPr>
                <w:rFonts w:ascii="Arial" w:hAnsi="Arial"/>
                <w:sz w:val="18"/>
              </w:rPr>
              <w:t>69.1864</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FAC-0195</w:t>
            </w:r>
          </w:p>
        </w:tc>
        <w:tc>
          <w:tcPr>
            <w:tcW w:type="dxa" w:w="1806"/>
            <w:shd w:fill="F2F6FC" w:val="clear"/>
          </w:tcPr>
          <w:p>
            <w:pPr>
              <w:jc w:val="right"/>
            </w:pPr>
            <w:r>
              <w:rPr>
                <w:rFonts w:ascii="Arial" w:hAnsi="Arial"/>
                <w:sz w:val="18"/>
              </w:rPr>
              <w:t>0.0000</w:t>
            </w:r>
          </w:p>
        </w:tc>
        <w:tc>
          <w:tcPr>
            <w:tcW w:type="dxa" w:w="1806"/>
            <w:shd w:fill="F2F6FC" w:val="clear"/>
          </w:tcPr>
          <w:p>
            <w:pPr>
              <w:jc w:val="right"/>
            </w:pPr>
            <w:r>
              <w:rPr>
                <w:rFonts w:ascii="Arial" w:hAnsi="Arial"/>
                <w:sz w:val="18"/>
              </w:rPr>
              <w:t>68.9426</w:t>
            </w:r>
          </w:p>
        </w:tc>
        <w:tc>
          <w:tcPr>
            <w:tcW w:type="dxa" w:w="1806"/>
            <w:shd w:fill="F2F6FC" w:val="clear"/>
          </w:tcPr>
          <w:p>
            <w:pPr>
              <w:jc w:val="right"/>
            </w:pPr>
            <w:r>
              <w:rPr>
                <w:rFonts w:ascii="Arial" w:hAnsi="Arial"/>
                <w:sz w:val="18"/>
              </w:rPr>
              <w:t>68.9426</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FAC-0190</w:t>
            </w:r>
          </w:p>
        </w:tc>
        <w:tc>
          <w:tcPr>
            <w:tcW w:type="dxa" w:w="1806"/>
          </w:tcPr>
          <w:p>
            <w:pPr>
              <w:jc w:val="right"/>
            </w:pPr>
            <w:r>
              <w:rPr>
                <w:rFonts w:ascii="Arial" w:hAnsi="Arial"/>
                <w:sz w:val="18"/>
              </w:rPr>
              <w:t>0.0000</w:t>
            </w:r>
          </w:p>
        </w:tc>
        <w:tc>
          <w:tcPr>
            <w:tcW w:type="dxa" w:w="1806"/>
          </w:tcPr>
          <w:p>
            <w:pPr>
              <w:jc w:val="right"/>
            </w:pPr>
            <w:r>
              <w:rPr>
                <w:rFonts w:ascii="Arial" w:hAnsi="Arial"/>
                <w:sz w:val="18"/>
              </w:rPr>
              <w:t>64.6894</w:t>
            </w:r>
          </w:p>
        </w:tc>
        <w:tc>
          <w:tcPr>
            <w:tcW w:type="dxa" w:w="1806"/>
          </w:tcPr>
          <w:p>
            <w:pPr>
              <w:jc w:val="right"/>
            </w:pPr>
            <w:r>
              <w:rPr>
                <w:rFonts w:ascii="Arial" w:hAnsi="Arial"/>
                <w:sz w:val="18"/>
              </w:rPr>
              <w:t>64.6894</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FAC-0206</w:t>
            </w:r>
          </w:p>
        </w:tc>
        <w:tc>
          <w:tcPr>
            <w:tcW w:type="dxa" w:w="1806"/>
            <w:shd w:fill="F2F6FC" w:val="clear"/>
          </w:tcPr>
          <w:p>
            <w:pPr>
              <w:jc w:val="right"/>
            </w:pPr>
            <w:r>
              <w:rPr>
                <w:rFonts w:ascii="Arial" w:hAnsi="Arial"/>
                <w:sz w:val="18"/>
              </w:rPr>
              <w:t>30.6719</w:t>
            </w:r>
          </w:p>
        </w:tc>
        <w:tc>
          <w:tcPr>
            <w:tcW w:type="dxa" w:w="1806"/>
            <w:shd w:fill="F2F6FC" w:val="clear"/>
          </w:tcPr>
          <w:p>
            <w:pPr>
              <w:jc w:val="right"/>
            </w:pPr>
            <w:r>
              <w:rPr>
                <w:rFonts w:ascii="Arial" w:hAnsi="Arial"/>
                <w:sz w:val="18"/>
              </w:rPr>
              <w:t>31.0841</w:t>
            </w:r>
          </w:p>
        </w:tc>
        <w:tc>
          <w:tcPr>
            <w:tcW w:type="dxa" w:w="1806"/>
            <w:shd w:fill="F2F6FC" w:val="clear"/>
          </w:tcPr>
          <w:p>
            <w:pPr>
              <w:jc w:val="right"/>
            </w:pPr>
            <w:r>
              <w:rPr>
                <w:rFonts w:ascii="Arial" w:hAnsi="Arial"/>
                <w:sz w:val="18"/>
              </w:rPr>
              <w:t>61.7560</w:t>
            </w:r>
          </w:p>
        </w:tc>
        <w:tc>
          <w:tcPr>
            <w:tcW w:type="dxa" w:w="1806"/>
            <w:shd w:fill="F2F6FC" w:val="clear"/>
          </w:tcPr>
          <w:p>
            <w:pPr>
              <w:jc w:val="right"/>
            </w:pPr>
            <w:r>
              <w:rPr>
                <w:rFonts w:ascii="Arial" w:hAnsi="Arial"/>
                <w:sz w:val="18"/>
              </w:rPr>
              <w:t>1</w:t>
            </w:r>
          </w:p>
        </w:tc>
      </w:tr>
    </w:tbl>
    <w:p>
      <w:r>
        <w:rPr>
          <w:rFonts w:ascii="Arial" w:hAnsi="Arial"/>
          <w:i/>
          <w:sz w:val="16"/>
        </w:rPr>
        <w:t>Source: Source: Facility-level energy consumption data. Data Quality Score: 1 = primary metered data, 4 = estimated/proxy data.</w:t>
      </w:r>
    </w:p>
    <w:p/>
    <w:p>
      <w:r>
        <w:rPr>
          <w:i/>
          <w:color w:val="3D6094"/>
          <w:sz w:val="18"/>
        </w:rPr>
        <w:t>Framework references: GRI 305-1; GHG Protocol Corporate Accounting and Reporting Standard (2015); IPCC AR6 Global Warming Potentials; Indonesia MEMR National Emission Factor Database (2022)</w:t>
      </w:r>
    </w:p>
    <w:p>
      <w:pPr>
        <w:spacing w:after="80"/>
        <w:pBdr>
          <w:bottom w:val="single" w:sz="6" w:space="1" w:color="999999"/>
        </w:pBdr>
      </w:pPr>
    </w:p>
    <w:p>
      <w:pPr>
        <w:spacing w:after="160" w:line="276" w:lineRule="auto"/>
        <w:jc w:val="both"/>
      </w:pPr>
      <w:r>
        <w:rPr>
          <w:rFonts w:ascii="Arial" w:hAnsi="Arial"/>
          <w:i/>
          <w:color w:val="646464"/>
          <w:sz w:val="18"/>
        </w:rPr>
        <w:t>GRI Content Index: 305-1 | Direct (Scope 1) GHG emissions | Section 4.1</w:t>
      </w:r>
    </w:p>
    <w:p>
      <w:pPr>
        <w:spacing w:after="160" w:line="276" w:lineRule="auto"/>
        <w:jc w:val="both"/>
      </w:pPr>
      <w:r>
        <w:rPr>
          <w:rFonts w:ascii="Arial" w:hAnsi="Arial"/>
          <w:i/>
          <w:color w:val="646464"/>
          <w:sz w:val="18"/>
        </w:rPr>
        <w:t>Consolidation approach: Operational control per GHG Protocol Corporate Standard (2015)</w:t>
      </w:r>
    </w:p>
    <w:p>
      <w:pPr>
        <w:spacing w:after="160" w:line="276" w:lineRule="auto"/>
        <w:jc w:val="both"/>
      </w:pPr>
      <w:r>
        <w:rPr>
          <w:rFonts w:ascii="Arial" w:hAnsi="Arial"/>
          <w:i/>
          <w:color w:val="646464"/>
          <w:sz w:val="18"/>
        </w:rPr>
        <w:t>Gases included: CO₂, CH₄, N₂O (all material to combustion processes)</w:t>
      </w:r>
    </w:p>
    <w:p>
      <w:pPr>
        <w:spacing w:after="160" w:line="276" w:lineRule="auto"/>
        <w:jc w:val="both"/>
      </w:pPr>
      <w:r>
        <w:rPr>
          <w:rFonts w:ascii="Arial" w:hAnsi="Arial"/>
          <w:i/>
          <w:color w:val="646464"/>
          <w:sz w:val="18"/>
        </w:rPr>
        <w:t>GWP values: IPCC AR6 (CO₂=1, CH₄=29.8, N₂O=273.0) with 100-year time horizon</w:t>
      </w:r>
    </w:p>
    <w:p>
      <w:pPr>
        <w:spacing w:after="160" w:line="276" w:lineRule="auto"/>
        <w:jc w:val="both"/>
      </w:pPr>
      <w:r>
        <w:rPr>
          <w:rFonts w:ascii="Arial" w:hAnsi="Arial"/>
          <w:i/>
          <w:color w:val="646464"/>
          <w:sz w:val="18"/>
        </w:rPr>
        <w:t>Emission factors: Indonesia MEMR National Emission Factor Database (2022 edition)</w:t>
      </w:r>
    </w:p>
    <w:p>
      <w:pPr>
        <w:spacing w:after="160" w:line="276" w:lineRule="auto"/>
        <w:jc w:val="both"/>
      </w:pPr>
      <w:r>
        <w:rPr>
          <w:rFonts w:ascii="Arial" w:hAnsi="Arial"/>
          <w:i/>
          <w:color w:val="646464"/>
          <w:sz w:val="18"/>
        </w:rPr>
        <w:t>Biogenic CO₂ emissions: Not separately quantified in current reporting period (see narrative for disclosure gap)</w:t>
      </w:r>
    </w:p>
    <w:p>
      <w:pPr>
        <w:spacing w:after="160" w:line="276" w:lineRule="auto"/>
        <w:jc w:val="both"/>
      </w:pPr>
      <w:r>
        <w:rPr>
          <w:rFonts w:ascii="Arial" w:hAnsi="Arial"/>
          <w:i/>
          <w:color w:val="646464"/>
          <w:sz w:val="18"/>
        </w:rPr>
        <w:t>Base year: Not yet established (see narrative for disclosure gap and recommendation)</w:t>
      </w:r>
    </w:p>
    <w:p>
      <w:pPr>
        <w:spacing w:after="160" w:line="276" w:lineRule="auto"/>
        <w:jc w:val="both"/>
      </w:pPr>
      <w:r>
        <w:rPr>
          <w:rFonts w:ascii="Arial" w:hAnsi="Arial"/>
          <w:i/>
          <w:color w:val="646464"/>
          <w:sz w:val="18"/>
        </w:rPr>
        <w:t>These figures have not been subject to external assurance for the current reporting period.</w:t>
      </w:r>
    </w:p>
    <w:p>
      <w:r>
        <w:br w:type="page"/>
      </w:r>
    </w:p>
    <w:p>
      <w:pPr>
        <w:pStyle w:val="Heading1"/>
        <w:keepNext/>
        <w:spacing w:before="480" w:after="240"/>
      </w:pPr>
      <w:r>
        <w:rPr>
          <w:rFonts w:ascii="Arial" w:hAnsi="Arial"/>
          <w:b/>
          <w:color w:val="1B3A6B"/>
          <w:sz w:val="36"/>
        </w:rPr>
        <w:t>GRI 305-2: Energy Indirect (Scope 2) GHG Emissions</w:t>
      </w:r>
    </w:p>
    <w:p>
      <w:pPr>
        <w:spacing w:after="160" w:line="276" w:lineRule="auto"/>
        <w:jc w:val="both"/>
      </w:pPr>
      <w:r>
        <w:rPr>
          <w:rFonts w:ascii="Arial" w:hAnsi="Arial"/>
          <w:sz w:val="22"/>
        </w:rPr>
        <w:t>The organization's energy indirect (Scope 2) greenhouse gas emissions for the reporting period totaled 44,599.44 tCO₂e using the location-based method and 44,598.118 tCO₂e using the market-based method. These emissions result from purchased electricity consumed across the institution's operational facilities, including headquarters, branch offices, data centers, and automated teller machine (ATM) networks. The marginal difference of 1.322 tCO₂e between the two methods reflects minimal application of contractual instruments for renewable energy procurement during the reporting period.</w:t>
      </w:r>
    </w:p>
    <w:p>
      <w:pPr>
        <w:spacing w:after="160" w:line="276" w:lineRule="auto"/>
        <w:jc w:val="both"/>
      </w:pPr>
      <w:r>
        <w:rPr>
          <w:rFonts w:ascii="Arial" w:hAnsi="Arial"/>
          <w:i/>
          <w:sz w:val="22"/>
        </w:rPr>
        <w:t>The location-based method applies the average emission factor for the Indonesian electricity grid as published by PT Perusahaan Listrik Negara (PLN) for 2023, which is 0.85 kgCO₂/kWh for the Java-Bali interconnected system where the majority of the institution's facilities are located. This method reflects the average emissions intensity of the grid on which energy consumption occurs. The market-based method derives emission factors from contractual instruments between the organization and energy suppliers, or in the absence of such instruments, applies the residual mix emission factor. For facilities without specific contractual instruments, the grid-average emission factor serves as a proxy in the market-based calculation, resulting in near-identical figures between the two methods.</w:t>
      </w:r>
    </w:p>
    <w:p>
      <w:pPr>
        <w:spacing w:after="160" w:line="276" w:lineRule="auto"/>
        <w:jc w:val="both"/>
      </w:pPr>
      <w:r>
        <w:rPr>
          <w:rFonts w:ascii="Arial" w:hAnsi="Arial"/>
          <w:sz w:val="22"/>
        </w:rPr>
        <w:t>The organization has not yet implemented large-scale procurement of renewable energy certificates (RECs), power purchase agreements (PPAs), or green tariff programs during the reporting period. Contractual instruments for renewable energy represent less than 0.01% of total electricity consumption, applied to a pilot solar installation at one branch facility. The residual mix emission factor for the Indonesian grid was not available from official sources for the reporting period; therefore, the grid-average emission factor was applied as a proxy in the market-based calculation per the GHG Protocol Scope 2 Guidance. This approach ensures conservative reporting until specific contractual instruments or residual mix data become available.</w:t>
      </w:r>
    </w:p>
    <w:p>
      <w:pPr>
        <w:spacing w:after="160" w:line="276" w:lineRule="auto"/>
        <w:jc w:val="both"/>
      </w:pPr>
      <w:r>
        <w:rPr>
          <w:rFonts w:ascii="Arial" w:hAnsi="Arial"/>
          <w:i/>
          <w:sz w:val="22"/>
        </w:rPr>
        <w:t>The organization consolidates Scope 2 emissions using the operational control approach, consistent with the consolidation method applied to Scope 1 emissions. All facilities where the organization has operational control are included in the boundary, regardless of ownership structure. Emissions from leased facilities where the organization is the lessee are included if the organization controls energy procurement decisions. The calculation methodology follows the GHG Protocol Corporate Accounting and Reporting Standard (2004) and the GHG Protocol Scope 2 Guidance (2015), ensuring alignment with international best practices for corporate GHG accounting.</w:t>
      </w:r>
    </w:p>
    <w:p>
      <w:pPr>
        <w:spacing w:after="160" w:line="276" w:lineRule="auto"/>
        <w:jc w:val="both"/>
      </w:pPr>
      <w:r>
        <w:rPr>
          <w:rFonts w:ascii="Arial" w:hAnsi="Arial"/>
          <w:sz w:val="22"/>
        </w:rPr>
        <w:t>**Data Quality and Limitations**: The organization's Scope 2 emissions data is derived from utility billing records for 98.7% of facilities, with the remaining 1.3% estimated using facility-type averages where billing data was incomplete. No external assurance has been obtained for Scope 2 emissions figures for the current reporting period. The organization recognizes the need to enhance data collection systems for real-time energy monitoring and to establish baseline data for future year-over-year comparisons. Prior year Scope 2 data is not available due to the inaugural nature of this reporting cycle, preventing year-over-year trend analysis.</w:t>
      </w:r>
    </w:p>
    <w:p>
      <w:pPr>
        <w:spacing w:after="160" w:line="276" w:lineRule="auto"/>
        <w:jc w:val="both"/>
      </w:pPr>
      <w:r>
        <w:rPr>
          <w:rFonts w:ascii="Arial" w:hAnsi="Arial"/>
          <w:i/>
          <w:color w:val="555555"/>
          <w:sz w:val="22"/>
        </w:rPr>
        <w:t>**Recommendations for Renewable Energy Transition**: The organization's current renewable energy procurement stands significantly below peer benchmarks in the Indonesian banking sector. DBS Bank, as an RE100 member, sources 62% of its electricity from renewable sources and achieved a 12% year-over-year reduction in Scope 2 emissions. Bank Rakyat Indonesia (BRI) implemented a comprehensive green building program achieving 19.49% electricity savings through energy efficiency measures and solar panel installations at branch networks. The organization should prioritize three actions: (1) **Short-term (6-12 months)**: Conduct energy audits across top 20 electricity-consuming facilities and implement low-cost efficiency measures such as LED retrofits, automated shutdown systems for non-critical equipment, and elevator scheduling during off-peak hours, targeting a 5% reduction in consumption. Reference: BRI's Kaseya auto-shutdown program. (2) **Medium-term (12-24 months)**: Initiate procurement of renewable energy certificates (RECs) or negotiate green tariff agreements with PLN for at least 15% of total electricity consumption, focusing on headquarters and data center facilities. Pursue green building certification (GBCI Gold standard) for new branch construction and major renovations. Reference: BRI achieved Gold GBCI certification for multiple facilities. (3) **Long-term (24-36 months)**: Establish a corporate renewable energy target aligned with RE100 principles, aiming for 30% renewable electricity by 2027 and 100% by 2035. Explore on-site solar photovoltaic installations for branches with suitable roof space, targeting 2-3 MW of installed capacity. Reference: DBS's 62% renewable achievement demonstrates feasibility in Southeast Asian markets. Priority: **High** — Scope 2 represents 93% of the organization's operational emissions (Scope 1+2), making it the most material lever for decarbonization.</w:t>
      </w:r>
    </w:p>
    <w:p>
      <w:r>
        <w:rPr>
          <w:rFonts w:ascii="Arial" w:hAnsi="Arial"/>
          <w:b/>
          <w:sz w:val="20"/>
        </w:rPr>
        <w:t>Table 4.2: Scope 2 Energy Indirect GHG Emissions — Dual Reporting (tCO₂e)</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Calculation Method</w:t>
            </w:r>
          </w:p>
        </w:tc>
        <w:tc>
          <w:tcPr>
            <w:tcW w:type="dxa" w:w="2257"/>
            <w:shd w:fill="1B3A6B" w:val="clear"/>
          </w:tcPr>
          <w:p>
            <w:r>
              <w:rPr>
                <w:rFonts w:ascii="Arial" w:hAnsi="Arial"/>
                <w:b/>
                <w:color w:val="FFFFFF"/>
                <w:sz w:val="18"/>
              </w:rPr>
              <w:t>Emissions (tCO₂e)</w:t>
            </w:r>
          </w:p>
        </w:tc>
        <w:tc>
          <w:tcPr>
            <w:tcW w:type="dxa" w:w="2257"/>
            <w:shd w:fill="1B3A6B" w:val="clear"/>
          </w:tcPr>
          <w:p>
            <w:r>
              <w:rPr>
                <w:rFonts w:ascii="Arial" w:hAnsi="Arial"/>
                <w:b/>
                <w:color w:val="FFFFFF"/>
                <w:sz w:val="18"/>
              </w:rPr>
              <w:t>Methodology Basis</w:t>
            </w:r>
          </w:p>
        </w:tc>
        <w:tc>
          <w:tcPr>
            <w:tcW w:type="dxa" w:w="2257"/>
            <w:shd w:fill="1B3A6B" w:val="clear"/>
          </w:tcPr>
          <w:p>
            <w:r>
              <w:rPr>
                <w:rFonts w:ascii="Arial" w:hAnsi="Arial"/>
                <w:b/>
                <w:color w:val="FFFFFF"/>
                <w:sz w:val="18"/>
              </w:rPr>
              <w:t>Emission Factor Source</w:t>
            </w:r>
          </w:p>
        </w:tc>
      </w:tr>
      <w:tr>
        <w:tc>
          <w:tcPr>
            <w:tcW w:type="dxa" w:w="2257"/>
          </w:tcPr>
          <w:p>
            <w:r>
              <w:rPr>
                <w:rFonts w:ascii="Arial" w:hAnsi="Arial"/>
                <w:sz w:val="18"/>
              </w:rPr>
              <w:t>Location-based</w:t>
            </w:r>
          </w:p>
        </w:tc>
        <w:tc>
          <w:tcPr>
            <w:tcW w:type="dxa" w:w="2257"/>
          </w:tcPr>
          <w:p>
            <w:pPr>
              <w:jc w:val="right"/>
            </w:pPr>
            <w:r>
              <w:rPr>
                <w:rFonts w:ascii="Arial" w:hAnsi="Arial"/>
                <w:sz w:val="18"/>
              </w:rPr>
              <w:t>44,599.44</w:t>
            </w:r>
          </w:p>
        </w:tc>
        <w:tc>
          <w:tcPr>
            <w:tcW w:type="dxa" w:w="2257"/>
          </w:tcPr>
          <w:p>
            <w:r>
              <w:rPr>
                <w:rFonts w:ascii="Arial" w:hAnsi="Arial"/>
                <w:sz w:val="18"/>
              </w:rPr>
              <w:t>Grid-average emission factor</w:t>
            </w:r>
          </w:p>
        </w:tc>
        <w:tc>
          <w:tcPr>
            <w:tcW w:type="dxa" w:w="2257"/>
          </w:tcPr>
          <w:p>
            <w:r>
              <w:rPr>
                <w:rFonts w:ascii="Arial" w:hAnsi="Arial"/>
                <w:sz w:val="18"/>
              </w:rPr>
              <w:t>PLN 2023 (0.85 kgCO₂/kWh)</w:t>
            </w:r>
          </w:p>
        </w:tc>
      </w:tr>
      <w:tr>
        <w:tc>
          <w:tcPr>
            <w:tcW w:type="dxa" w:w="2257"/>
            <w:shd w:fill="F2F6FC" w:val="clear"/>
          </w:tcPr>
          <w:p>
            <w:r>
              <w:rPr>
                <w:rFonts w:ascii="Arial" w:hAnsi="Arial"/>
                <w:sz w:val="18"/>
              </w:rPr>
              <w:t>Market-based</w:t>
            </w:r>
          </w:p>
        </w:tc>
        <w:tc>
          <w:tcPr>
            <w:tcW w:type="dxa" w:w="2257"/>
            <w:shd w:fill="F2F6FC" w:val="clear"/>
          </w:tcPr>
          <w:p>
            <w:pPr>
              <w:jc w:val="right"/>
            </w:pPr>
            <w:r>
              <w:rPr>
                <w:rFonts w:ascii="Arial" w:hAnsi="Arial"/>
                <w:sz w:val="18"/>
              </w:rPr>
              <w:t>44,598.118</w:t>
            </w:r>
          </w:p>
        </w:tc>
        <w:tc>
          <w:tcPr>
            <w:tcW w:type="dxa" w:w="2257"/>
            <w:shd w:fill="F2F6FC" w:val="clear"/>
          </w:tcPr>
          <w:p>
            <w:r>
              <w:rPr>
                <w:rFonts w:ascii="Arial" w:hAnsi="Arial"/>
                <w:sz w:val="18"/>
              </w:rPr>
              <w:t>Contractual instruments + residual mix proxy</w:t>
            </w:r>
          </w:p>
        </w:tc>
        <w:tc>
          <w:tcPr>
            <w:tcW w:type="dxa" w:w="2257"/>
            <w:shd w:fill="F2F6FC" w:val="clear"/>
          </w:tcPr>
          <w:p>
            <w:r>
              <w:rPr>
                <w:rFonts w:ascii="Arial" w:hAnsi="Arial"/>
                <w:sz w:val="18"/>
              </w:rPr>
              <w:t>Supplier-specific + PLN grid-average</w:t>
            </w:r>
          </w:p>
        </w:tc>
      </w:tr>
      <w:tr>
        <w:tc>
          <w:tcPr>
            <w:tcW w:type="dxa" w:w="2257"/>
          </w:tcPr>
          <w:p>
            <w:r>
              <w:rPr>
                <w:rFonts w:ascii="Arial" w:hAnsi="Arial"/>
                <w:sz w:val="18"/>
              </w:rPr>
              <w:t>Difference</w:t>
            </w:r>
          </w:p>
        </w:tc>
        <w:tc>
          <w:tcPr>
            <w:tcW w:type="dxa" w:w="2257"/>
          </w:tcPr>
          <w:p>
            <w:pPr>
              <w:jc w:val="right"/>
            </w:pPr>
            <w:r>
              <w:rPr>
                <w:rFonts w:ascii="Arial" w:hAnsi="Arial"/>
                <w:sz w:val="18"/>
              </w:rPr>
              <w:t>1.322</w:t>
            </w:r>
          </w:p>
        </w:tc>
        <w:tc>
          <w:tcPr>
            <w:tcW w:type="dxa" w:w="2257"/>
          </w:tcPr>
          <w:p>
            <w:r>
              <w:rPr>
                <w:rFonts w:ascii="Arial" w:hAnsi="Arial"/>
                <w:sz w:val="18"/>
              </w:rPr>
              <w:t>Renewable energy certificates applied</w:t>
            </w:r>
          </w:p>
        </w:tc>
        <w:tc>
          <w:tcPr>
            <w:tcW w:type="dxa" w:w="2257"/>
          </w:tcPr>
          <w:p>
            <w:r>
              <w:rPr>
                <w:rFonts w:ascii="Arial" w:hAnsi="Arial"/>
                <w:sz w:val="18"/>
              </w:rPr>
              <w:t>Pilot solar installation (1 facility)</w:t>
            </w:r>
          </w:p>
        </w:tc>
      </w:tr>
    </w:tbl>
    <w:p>
      <w:r>
        <w:rPr>
          <w:rFonts w:ascii="Arial" w:hAnsi="Arial"/>
          <w:i/>
          <w:sz w:val="16"/>
        </w:rPr>
        <w:t>Source: Source: Utility billing records (98.7% of facilities); GHG Protocol Scope 2 Guidance (2015). Consolidation approach: Operational control. Grid region: Java-Bali interconnected system.</w:t>
      </w:r>
    </w:p>
    <w:p/>
    <w:p>
      <w:r>
        <w:rPr>
          <w:rFonts w:ascii="Arial" w:hAnsi="Arial"/>
          <w:b/>
          <w:sz w:val="20"/>
        </w:rPr>
        <w:t>Table 4.3: Scope 2 Emissions Intensity Metrics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Intensity Metric</w:t>
            </w:r>
          </w:p>
        </w:tc>
        <w:tc>
          <w:tcPr>
            <w:tcW w:type="dxa" w:w="2257"/>
            <w:shd w:fill="1B3A6B" w:val="clear"/>
          </w:tcPr>
          <w:p>
            <w:r>
              <w:rPr>
                <w:rFonts w:ascii="Arial" w:hAnsi="Arial"/>
                <w:b/>
                <w:color w:val="FFFFFF"/>
                <w:sz w:val="18"/>
              </w:rPr>
              <w:t>Value</w:t>
            </w:r>
          </w:p>
        </w:tc>
        <w:tc>
          <w:tcPr>
            <w:tcW w:type="dxa" w:w="2257"/>
            <w:shd w:fill="1B3A6B" w:val="clear"/>
          </w:tcPr>
          <w:p>
            <w:r>
              <w:rPr>
                <w:rFonts w:ascii="Arial" w:hAnsi="Arial"/>
                <w:b/>
                <w:color w:val="FFFFFF"/>
                <w:sz w:val="18"/>
              </w:rPr>
              <w:t>Unit</w:t>
            </w:r>
          </w:p>
        </w:tc>
        <w:tc>
          <w:tcPr>
            <w:tcW w:type="dxa" w:w="2257"/>
            <w:shd w:fill="1B3A6B" w:val="clear"/>
          </w:tcPr>
          <w:p>
            <w:r>
              <w:rPr>
                <w:rFonts w:ascii="Arial" w:hAnsi="Arial"/>
                <w:b/>
                <w:color w:val="FFFFFF"/>
                <w:sz w:val="18"/>
              </w:rPr>
              <w:t>Calculation Basis</w:t>
            </w:r>
          </w:p>
        </w:tc>
      </w:tr>
      <w:tr>
        <w:tc>
          <w:tcPr>
            <w:tcW w:type="dxa" w:w="2257"/>
          </w:tcPr>
          <w:p>
            <w:r>
              <w:rPr>
                <w:rFonts w:ascii="Arial" w:hAnsi="Arial"/>
                <w:sz w:val="18"/>
              </w:rPr>
              <w:t>Scope 2 per FTE</w:t>
            </w:r>
          </w:p>
        </w:tc>
        <w:tc>
          <w:tcPr>
            <w:tcW w:type="dxa" w:w="2257"/>
          </w:tcPr>
          <w:p>
            <w:pPr>
              <w:jc w:val="right"/>
            </w:pPr>
            <w:r>
              <w:rPr>
                <w:rFonts w:ascii="Arial" w:hAnsi="Arial"/>
                <w:sz w:val="18"/>
              </w:rPr>
              <w:t>1.820</w:t>
            </w:r>
          </w:p>
        </w:tc>
        <w:tc>
          <w:tcPr>
            <w:tcW w:type="dxa" w:w="2257"/>
          </w:tcPr>
          <w:p>
            <w:r>
              <w:rPr>
                <w:rFonts w:ascii="Arial" w:hAnsi="Arial"/>
                <w:sz w:val="18"/>
              </w:rPr>
              <w:t>tCO₂e/employee</w:t>
            </w:r>
          </w:p>
        </w:tc>
        <w:tc>
          <w:tcPr>
            <w:tcW w:type="dxa" w:w="2257"/>
          </w:tcPr>
          <w:p>
            <w:r>
              <w:rPr>
                <w:rFonts w:ascii="Arial" w:hAnsi="Arial"/>
                <w:sz w:val="18"/>
              </w:rPr>
              <w:t>Location-based / 24,500 FTE</w:t>
            </w:r>
          </w:p>
        </w:tc>
      </w:tr>
      <w:tr>
        <w:tc>
          <w:tcPr>
            <w:tcW w:type="dxa" w:w="2257"/>
            <w:shd w:fill="F2F6FC" w:val="clear"/>
          </w:tcPr>
          <w:p>
            <w:r>
              <w:rPr>
                <w:rFonts w:ascii="Arial" w:hAnsi="Arial"/>
                <w:sz w:val="18"/>
              </w:rPr>
              <w:t>Scope 2 per IDR billion revenue</w:t>
            </w:r>
          </w:p>
        </w:tc>
        <w:tc>
          <w:tcPr>
            <w:tcW w:type="dxa" w:w="2257"/>
            <w:shd w:fill="F2F6FC" w:val="clear"/>
          </w:tcPr>
          <w:p>
            <w:r>
              <w:rPr>
                <w:rFonts w:ascii="Arial" w:hAnsi="Arial"/>
                <w:sz w:val="18"/>
              </w:rPr>
              <w:t>Not disclosed</w:t>
            </w:r>
          </w:p>
        </w:tc>
        <w:tc>
          <w:tcPr>
            <w:tcW w:type="dxa" w:w="2257"/>
            <w:shd w:fill="F2F6FC" w:val="clear"/>
          </w:tcPr>
          <w:p>
            <w:r>
              <w:rPr>
                <w:rFonts w:ascii="Arial" w:hAnsi="Arial"/>
                <w:sz w:val="18"/>
              </w:rPr>
              <w:t>tCO₂e/IDR bn</w:t>
            </w:r>
          </w:p>
        </w:tc>
        <w:tc>
          <w:tcPr>
            <w:tcW w:type="dxa" w:w="2257"/>
            <w:shd w:fill="F2F6FC" w:val="clear"/>
          </w:tcPr>
          <w:p>
            <w:r>
              <w:rPr>
                <w:rFonts w:ascii="Arial" w:hAnsi="Arial"/>
                <w:sz w:val="18"/>
              </w:rPr>
              <w:t>Revenue data not provided in DATA INPUT</w:t>
            </w:r>
          </w:p>
        </w:tc>
      </w:tr>
      <w:tr>
        <w:tc>
          <w:tcPr>
            <w:tcW w:type="dxa" w:w="2257"/>
          </w:tcPr>
          <w:p>
            <w:r>
              <w:rPr>
                <w:rFonts w:ascii="Arial" w:hAnsi="Arial"/>
                <w:sz w:val="18"/>
              </w:rPr>
              <w:t>Scope 2 per square meter</w:t>
            </w:r>
          </w:p>
        </w:tc>
        <w:tc>
          <w:tcPr>
            <w:tcW w:type="dxa" w:w="2257"/>
          </w:tcPr>
          <w:p>
            <w:r>
              <w:rPr>
                <w:rFonts w:ascii="Arial" w:hAnsi="Arial"/>
                <w:sz w:val="18"/>
              </w:rPr>
              <w:t>Not disclosed</w:t>
            </w:r>
          </w:p>
        </w:tc>
        <w:tc>
          <w:tcPr>
            <w:tcW w:type="dxa" w:w="2257"/>
          </w:tcPr>
          <w:p>
            <w:r>
              <w:rPr>
                <w:rFonts w:ascii="Arial" w:hAnsi="Arial"/>
                <w:sz w:val="18"/>
              </w:rPr>
              <w:t>kgCO₂e/m²</w:t>
            </w:r>
          </w:p>
        </w:tc>
        <w:tc>
          <w:tcPr>
            <w:tcW w:type="dxa" w:w="2257"/>
          </w:tcPr>
          <w:p>
            <w:r>
              <w:rPr>
                <w:rFonts w:ascii="Arial" w:hAnsi="Arial"/>
                <w:sz w:val="18"/>
              </w:rPr>
              <w:t>Floor area data not captured in reporting system</w:t>
            </w:r>
          </w:p>
        </w:tc>
      </w:tr>
    </w:tbl>
    <w:p>
      <w:r>
        <w:rPr>
          <w:rFonts w:ascii="Arial" w:hAnsi="Arial"/>
          <w:i/>
          <w:sz w:val="16"/>
        </w:rPr>
        <w:t>Source: Source: GHG summary data and HR metrics. Market-based method used for intensity calculations per GHG Protocol guidance.</w:t>
      </w:r>
    </w:p>
    <w:p/>
    <w:p>
      <w:r>
        <w:rPr>
          <w:i/>
          <w:color w:val="3D6094"/>
          <w:sz w:val="18"/>
        </w:rPr>
        <w:t>Framework references: GRI 305-2 (Energy Indirect Scope 2 GHG Emissions); GHG Protocol Corporate Accounting and Reporting Standard (2004); GHG Protocol Scope 2 Guidance (2015); GRI 302-1 (Energy consumption within the organization)</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Prior year Scope 2 data is not available as 2023 represents the inaugural GHG inventory reporting cycle for the organization.</w:t>
      </w:r>
    </w:p>
    <w:p>
      <w:pPr>
        <w:spacing w:after="160" w:line="276" w:lineRule="auto"/>
        <w:jc w:val="both"/>
      </w:pPr>
      <w:r>
        <w:rPr>
          <w:rFonts w:ascii="Arial" w:hAnsi="Arial"/>
          <w:i/>
          <w:color w:val="646464"/>
          <w:sz w:val="18"/>
        </w:rPr>
        <w:t>The market-based method calculation uses grid-average emission factors as a proxy for residual mix due to unavailability of official residual mix data for Indonesia in 2023.</w:t>
      </w:r>
    </w:p>
    <w:p>
      <w:pPr>
        <w:spacing w:after="160" w:line="276" w:lineRule="auto"/>
        <w:jc w:val="both"/>
      </w:pPr>
      <w:r>
        <w:rPr>
          <w:rFonts w:ascii="Arial" w:hAnsi="Arial"/>
          <w:i/>
          <w:color w:val="646464"/>
          <w:sz w:val="18"/>
        </w:rPr>
        <w:t>Scope 2 emissions account for 93.06% of the organization's total operational emissions (Scope 1 + Scope 2 = 47,923.961 tCO₂e).</w:t>
      </w:r>
    </w:p>
    <w:p>
      <w:pPr>
        <w:spacing w:after="160" w:line="276" w:lineRule="auto"/>
        <w:jc w:val="both"/>
      </w:pPr>
      <w:r>
        <w:rPr>
          <w:rFonts w:ascii="Arial" w:hAnsi="Arial"/>
          <w:i/>
          <w:color w:val="646464"/>
          <w:sz w:val="18"/>
        </w:rPr>
        <w:t>GRI Content Index: 305-2 | Energy indirect (Scope 2) GHG emissions | Section 4.2</w:t>
      </w:r>
    </w:p>
    <w:p>
      <w:r>
        <w:br w:type="page"/>
      </w:r>
    </w:p>
    <w:p>
      <w:pPr>
        <w:pStyle w:val="Heading1"/>
        <w:keepNext/>
        <w:spacing w:before="480" w:after="240"/>
      </w:pPr>
      <w:r>
        <w:rPr>
          <w:rFonts w:ascii="Arial" w:hAnsi="Arial"/>
          <w:b/>
          <w:color w:val="1B3A6B"/>
          <w:sz w:val="36"/>
        </w:rPr>
        <w:t>GRI 305-3: Other Indirect (Scope 3) GHG Emissions — PCAF Financed Emissions</w:t>
      </w:r>
    </w:p>
    <w:p>
      <w:pPr>
        <w:spacing w:after="160" w:line="276" w:lineRule="auto"/>
        <w:jc w:val="both"/>
      </w:pPr>
      <w:r>
        <w:rPr>
          <w:rFonts w:ascii="Arial" w:hAnsi="Arial"/>
          <w:sz w:val="22"/>
        </w:rPr>
        <w:t>The organization's gross financed emissions for the reporting period totaled 22,911,991.05 tCO2e, representing the total greenhouse gas emissions attributable to the institution's lending and investment portfolio under the Partnership for Carbon Accounting Financials (PCAF) Global GHG Accounting Standard. This figure encompasses emissions from borrowers across ten economic sectors, with the corporate loan portfolio representing the primary asset class measured. The confidence-weighted financed emissions, adjusted for data quality using PCAF confidence factors, totaled 15,576,239.57 tCO2e for the same period.</w:t>
      </w:r>
    </w:p>
    <w:p>
      <w:pPr>
        <w:spacing w:after="160" w:line="276" w:lineRule="auto"/>
        <w:jc w:val="both"/>
      </w:pPr>
      <w:r>
        <w:rPr>
          <w:rFonts w:ascii="Arial" w:hAnsi="Arial"/>
          <w:i/>
          <w:sz w:val="22"/>
        </w:rPr>
        <w:t>The organization applies the PCAF methodology for calculating financed emissions, which attributes a portion of each borrower's total emissions to the institution based on the outstanding loan amount relative to the borrower's total equity plus debt (attribution factor). The formula applied is: Financed Emissions = Outstanding Amount ÷ (Borrower Equity + Borrower Debt) × Borrower Emissions. The calculation covers corporate loans as the primary asset class, representing IDR 1,526.77 trillion in total outstanding exposure across 1,934 borrower relationships. Emission factors are derived from borrower-reported data where available (PCAF Score 1-2), supplemented by environmentally-extended input-output (EEIO) models for borrowers without direct emissions disclosures (PCAF Score 3-5).</w:t>
      </w:r>
    </w:p>
    <w:p>
      <w:pPr>
        <w:spacing w:after="160" w:line="276" w:lineRule="auto"/>
        <w:jc w:val="both"/>
      </w:pPr>
      <w:r>
        <w:rPr>
          <w:rFonts w:ascii="Arial" w:hAnsi="Arial"/>
          <w:sz w:val="22"/>
        </w:rPr>
        <w:t>The portfolio exhibits significant concentration in carbon-intensive sectors. Energy - Oil &amp; Gas represents 44.59% of total financed emissions (6,655,496.15 tCO2e weighted) despite comprising only 7.38% of portfolio value, with an emission intensity of 90.7026 tCO2e per IDR billion outstanding. Manufacturing - Cement accounts for 29.87% of financed emissions (4,866,549.08 tCO2e weighted) from 8.14% of portfolio exposure, reflecting the sector's inherent emission intensity of 55.0914 tCO2e per IDR billion. Manufacturing - Steel contributes 12.36% of financed emissions (1,900,280.86 tCO2e weighted) from 6.49% of portfolio value. These three sectors collectively represent 86.82% of total financed emissions while comprising only 21.01% of portfolio outstanding, indicating material climate risk concentration requiring enhanced monitoring and client engagement strategies.</w:t>
      </w:r>
    </w:p>
    <w:p>
      <w:pPr>
        <w:spacing w:after="160" w:line="276" w:lineRule="auto"/>
        <w:jc w:val="both"/>
      </w:pPr>
      <w:r>
        <w:rPr>
          <w:rFonts w:ascii="Arial" w:hAnsi="Arial"/>
          <w:sz w:val="22"/>
        </w:rPr>
        <w:t>The distinction between gross and confidence-weighted financed emissions reflects data quality variability across the portfolio. Gross financed emissions of 22,911,991.05 tCO2e represent the unadjusted attribution of borrower emissions based on financing relationships. Confidence-weighted financed emissions of 15,576,239.57 tCO2e apply PCAF confidence factors ranging from 0.45 (sector-average proxy) to 1.00 (verified emissions data) to adjust for data quality limitations. The 32.01% reduction from gross to weighted figures indicates that approximately one-third of calculated emissions rely on lower-confidence estimation methodologies. This gap quantifies the uncertainty inherent in the portfolio's emissions profile and establishes a baseline for data quality improvement initiatives.</w:t>
      </w:r>
    </w:p>
    <w:p>
      <w:pPr>
        <w:spacing w:after="160" w:line="276" w:lineRule="auto"/>
        <w:jc w:val="both"/>
      </w:pPr>
      <w:r>
        <w:rPr>
          <w:rFonts w:ascii="Arial" w:hAnsi="Arial"/>
          <w:sz w:val="22"/>
        </w:rPr>
        <w:t>The portfolio-weighted average PCAF data quality score is 3.43 across all measured exposures, indicating predominant reliance on EEIO models combined with revenue data (Score 3) and asset-based proxies (Score 4). This data point is not yet captured in the institution's reporting system for the percentage of portfolio achieving high-quality data status (PCAF Score 1-2). Peer institutions in the Indonesian banking sector report varying data quality profiles: BRI has committed to Science-Based Targets initiative (SBTi) validation, implying enhanced data collection processes across material sectors, while international peers such as DBS report structured client engagement programs to improve emissions data availability. The organization's current data quality profile suggests significant opportunity for improvement through systematic borrower engagement and enhanced environmental due diligence processes.</w:t>
      </w:r>
    </w:p>
    <w:p>
      <w:pPr>
        <w:spacing w:after="160" w:line="276" w:lineRule="auto"/>
        <w:jc w:val="both"/>
      </w:pPr>
      <w:r>
        <w:rPr>
          <w:rFonts w:ascii="Arial" w:hAnsi="Arial"/>
          <w:sz w:val="22"/>
        </w:rPr>
        <w:t>This data point is not yet captured in the institution's reporting system for portfolio coverage percentage under PCAF methodology. The GRI 305-3 standard requires disclosure of the percentage of Scope 3 emissions calculated using data obtained from suppliers or other value chain partners versus estimated. PCAF signatories typically target &gt;90% portfolio coverage for material asset classes within three years of adoption. Peer benchmark: BRI covers six PCAF asset classes including corporate loans, project finance, commercial real estate, mortgages, motor vehicle loans, and listed equity/bonds, representing comprehensive value chain emissions measurement. The organization should establish a coverage measurement framework and set time-bound targets for expanding PCAF methodology application across additional asset classes beyond corporate loans.</w:t>
      </w:r>
    </w:p>
    <w:p>
      <w:pPr>
        <w:spacing w:after="160" w:line="276" w:lineRule="auto"/>
        <w:jc w:val="both"/>
      </w:pPr>
      <w:r>
        <w:rPr>
          <w:rFonts w:ascii="Arial" w:hAnsi="Arial"/>
          <w:i/>
          <w:color w:val="555555"/>
          <w:sz w:val="22"/>
        </w:rPr>
        <w:t>Year-over-year comparison of financed emissions is not available for the current reporting period as this represents the organization's baseline year for PCAF-aligned Scope 3 Category 15 disclosure. Subsequent reporting periods will include trend analysis comparing absolute financed emissions, emission intensity metrics (tCO2e per IDR billion outstanding), and sectoral composition changes. The establishment of this baseline enables future target-setting aligned with portfolio decarbonization pathways, including potential alignment with Paris Agreement temperature scenarios (1.5°C or well-below 2°C trajectories). Peer reference: BRI has established a portfolio temperature alignment target of 1.75°C by 2040, representing a science-based decarbonization commitment for financed emissions.</w:t>
      </w:r>
    </w:p>
    <w:p>
      <w:pPr>
        <w:spacing w:after="160" w:line="276" w:lineRule="auto"/>
        <w:jc w:val="both"/>
      </w:pPr>
      <w:r>
        <w:rPr>
          <w:rFonts w:ascii="Arial" w:hAnsi="Arial"/>
          <w:i/>
          <w:color w:val="555555"/>
          <w:sz w:val="22"/>
        </w:rPr>
        <w:t>The organization has identified a data quality improvement roadmap as a strategic priority given the average PCAF score of 3.43. Recommended initiatives include: (1) systematic integration of emissions data requests into annual borrower review processes for all exposures &gt;IDR 50 billion; (2) development of sector-specific engagement protocols for the top 50 emitting clients, representing approximately 70% of financed emissions; (3) partnership with third-party data providers to supplement EEIO models with company-specific proxies where direct disclosure is unavailable; (4) capacity building for relationship managers on climate risk assessment and emissions data interpretation; and (5) establishment of data quality KPIs with annual improvement targets (e.g., increase Score 1-2 portfolio percentage by 10 percentage points annually). These initiatives align with PCAF guidance on continuous data quality enhancement and support transition risk management objectives.</w:t>
      </w:r>
    </w:p>
    <w:p>
      <w:r>
        <w:rPr>
          <w:rFonts w:ascii="Arial" w:hAnsi="Arial"/>
          <w:b/>
          <w:sz w:val="20"/>
        </w:rPr>
        <w:t>Table 1: Financed Emissions by Economic Sector (Top 5 Contributors)</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B3A6B" w:val="clear"/>
          </w:tcPr>
          <w:p>
            <w:r>
              <w:rPr>
                <w:rFonts w:ascii="Arial" w:hAnsi="Arial"/>
                <w:b/>
                <w:color w:val="FFFFFF"/>
                <w:sz w:val="18"/>
              </w:rPr>
              <w:t>Sector</w:t>
            </w:r>
          </w:p>
        </w:tc>
        <w:tc>
          <w:tcPr>
            <w:tcW w:type="dxa" w:w="1129"/>
            <w:shd w:fill="1B3A6B" w:val="clear"/>
          </w:tcPr>
          <w:p>
            <w:r>
              <w:rPr>
                <w:rFonts w:ascii="Arial" w:hAnsi="Arial"/>
                <w:b/>
                <w:color w:val="FFFFFF"/>
                <w:sz w:val="18"/>
              </w:rPr>
              <w:t>Outstanding (IDR Trillion)</w:t>
            </w:r>
          </w:p>
        </w:tc>
        <w:tc>
          <w:tcPr>
            <w:tcW w:type="dxa" w:w="1129"/>
            <w:shd w:fill="1B3A6B" w:val="clear"/>
          </w:tcPr>
          <w:p>
            <w:r>
              <w:rPr>
                <w:rFonts w:ascii="Arial" w:hAnsi="Arial"/>
                <w:b/>
                <w:color w:val="FFFFFF"/>
                <w:sz w:val="18"/>
              </w:rPr>
              <w:t>Gross Emissions (tCO2e)</w:t>
            </w:r>
          </w:p>
        </w:tc>
        <w:tc>
          <w:tcPr>
            <w:tcW w:type="dxa" w:w="1129"/>
            <w:shd w:fill="1B3A6B" w:val="clear"/>
          </w:tcPr>
          <w:p>
            <w:r>
              <w:rPr>
                <w:rFonts w:ascii="Arial" w:hAnsi="Arial"/>
                <w:b/>
                <w:color w:val="FFFFFF"/>
                <w:sz w:val="18"/>
              </w:rPr>
              <w:t>Weighted Emissions (tCO2e)</w:t>
            </w:r>
          </w:p>
        </w:tc>
        <w:tc>
          <w:tcPr>
            <w:tcW w:type="dxa" w:w="1129"/>
            <w:shd w:fill="1B3A6B" w:val="clear"/>
          </w:tcPr>
          <w:p>
            <w:r>
              <w:rPr>
                <w:rFonts w:ascii="Arial" w:hAnsi="Arial"/>
                <w:b/>
                <w:color w:val="FFFFFF"/>
                <w:sz w:val="18"/>
              </w:rPr>
              <w:t>Emission Intensity (tCO2e/IDR Bn)</w:t>
            </w:r>
          </w:p>
        </w:tc>
        <w:tc>
          <w:tcPr>
            <w:tcW w:type="dxa" w:w="1129"/>
            <w:shd w:fill="1B3A6B" w:val="clear"/>
          </w:tcPr>
          <w:p>
            <w:r>
              <w:rPr>
                <w:rFonts w:ascii="Arial" w:hAnsi="Arial"/>
                <w:b/>
                <w:color w:val="FFFFFF"/>
                <w:sz w:val="18"/>
              </w:rPr>
              <w:t>% of Portfolio</w:t>
            </w:r>
          </w:p>
        </w:tc>
        <w:tc>
          <w:tcPr>
            <w:tcW w:type="dxa" w:w="1129"/>
            <w:shd w:fill="1B3A6B" w:val="clear"/>
          </w:tcPr>
          <w:p>
            <w:r>
              <w:rPr>
                <w:rFonts w:ascii="Arial" w:hAnsi="Arial"/>
                <w:b/>
                <w:color w:val="FFFFFF"/>
                <w:sz w:val="18"/>
              </w:rPr>
              <w:t>% of Emissions</w:t>
            </w:r>
          </w:p>
        </w:tc>
        <w:tc>
          <w:tcPr>
            <w:tcW w:type="dxa" w:w="1129"/>
            <w:shd w:fill="1B3A6B" w:val="clear"/>
          </w:tcPr>
          <w:p>
            <w:r>
              <w:rPr>
                <w:rFonts w:ascii="Arial" w:hAnsi="Arial"/>
                <w:b/>
                <w:color w:val="FFFFFF"/>
                <w:sz w:val="18"/>
              </w:rPr>
              <w:t>Avg PCAF Score</w:t>
            </w:r>
          </w:p>
        </w:tc>
      </w:tr>
      <w:tr>
        <w:tc>
          <w:tcPr>
            <w:tcW w:type="dxa" w:w="1129"/>
          </w:tcPr>
          <w:p>
            <w:r>
              <w:rPr>
                <w:rFonts w:ascii="Arial" w:hAnsi="Arial"/>
                <w:sz w:val="18"/>
              </w:rPr>
              <w:t>Energy - Oil &amp; Gas</w:t>
            </w:r>
          </w:p>
        </w:tc>
        <w:tc>
          <w:tcPr>
            <w:tcW w:type="dxa" w:w="1129"/>
          </w:tcPr>
          <w:p>
            <w:pPr>
              <w:jc w:val="right"/>
            </w:pPr>
            <w:r>
              <w:rPr>
                <w:rFonts w:ascii="Arial" w:hAnsi="Arial"/>
                <w:sz w:val="18"/>
              </w:rPr>
              <w:t>112.62</w:t>
            </w:r>
          </w:p>
        </w:tc>
        <w:tc>
          <w:tcPr>
            <w:tcW w:type="dxa" w:w="1129"/>
          </w:tcPr>
          <w:p>
            <w:pPr>
              <w:jc w:val="right"/>
            </w:pPr>
            <w:r>
              <w:rPr>
                <w:rFonts w:ascii="Arial" w:hAnsi="Arial"/>
                <w:sz w:val="18"/>
              </w:rPr>
              <w:t>10,215,339.93</w:t>
            </w:r>
          </w:p>
        </w:tc>
        <w:tc>
          <w:tcPr>
            <w:tcW w:type="dxa" w:w="1129"/>
          </w:tcPr>
          <w:p>
            <w:pPr>
              <w:jc w:val="right"/>
            </w:pPr>
            <w:r>
              <w:rPr>
                <w:rFonts w:ascii="Arial" w:hAnsi="Arial"/>
                <w:sz w:val="18"/>
              </w:rPr>
              <w:t>6,655,496.15</w:t>
            </w:r>
          </w:p>
        </w:tc>
        <w:tc>
          <w:tcPr>
            <w:tcW w:type="dxa" w:w="1129"/>
          </w:tcPr>
          <w:p>
            <w:pPr>
              <w:jc w:val="right"/>
            </w:pPr>
            <w:r>
              <w:rPr>
                <w:rFonts w:ascii="Arial" w:hAnsi="Arial"/>
                <w:sz w:val="18"/>
              </w:rPr>
              <w:t>90.70</w:t>
            </w:r>
          </w:p>
        </w:tc>
        <w:tc>
          <w:tcPr>
            <w:tcW w:type="dxa" w:w="1129"/>
          </w:tcPr>
          <w:p>
            <w:pPr>
              <w:jc w:val="right"/>
            </w:pPr>
            <w:r>
              <w:rPr>
                <w:rFonts w:ascii="Arial" w:hAnsi="Arial"/>
                <w:sz w:val="18"/>
              </w:rPr>
              <w:t>7.38%</w:t>
            </w:r>
          </w:p>
        </w:tc>
        <w:tc>
          <w:tcPr>
            <w:tcW w:type="dxa" w:w="1129"/>
          </w:tcPr>
          <w:p>
            <w:pPr>
              <w:jc w:val="right"/>
            </w:pPr>
            <w:r>
              <w:rPr>
                <w:rFonts w:ascii="Arial" w:hAnsi="Arial"/>
                <w:sz w:val="18"/>
              </w:rPr>
              <w:t>44.59%</w:t>
            </w:r>
          </w:p>
        </w:tc>
        <w:tc>
          <w:tcPr>
            <w:tcW w:type="dxa" w:w="1129"/>
          </w:tcPr>
          <w:p>
            <w:pPr>
              <w:jc w:val="right"/>
            </w:pPr>
            <w:r>
              <w:rPr>
                <w:rFonts w:ascii="Arial" w:hAnsi="Arial"/>
                <w:sz w:val="18"/>
              </w:rPr>
              <w:t>3.45</w:t>
            </w:r>
          </w:p>
        </w:tc>
      </w:tr>
      <w:tr>
        <w:tc>
          <w:tcPr>
            <w:tcW w:type="dxa" w:w="1129"/>
            <w:shd w:fill="F2F6FC" w:val="clear"/>
          </w:tcPr>
          <w:p>
            <w:r>
              <w:rPr>
                <w:rFonts w:ascii="Arial" w:hAnsi="Arial"/>
                <w:sz w:val="18"/>
              </w:rPr>
              <w:t>Manufacturing - Cement</w:t>
            </w:r>
          </w:p>
        </w:tc>
        <w:tc>
          <w:tcPr>
            <w:tcW w:type="dxa" w:w="1129"/>
            <w:shd w:fill="F2F6FC" w:val="clear"/>
          </w:tcPr>
          <w:p>
            <w:pPr>
              <w:jc w:val="right"/>
            </w:pPr>
            <w:r>
              <w:rPr>
                <w:rFonts w:ascii="Arial" w:hAnsi="Arial"/>
                <w:sz w:val="18"/>
              </w:rPr>
              <w:t>124.21</w:t>
            </w:r>
          </w:p>
        </w:tc>
        <w:tc>
          <w:tcPr>
            <w:tcW w:type="dxa" w:w="1129"/>
            <w:shd w:fill="F2F6FC" w:val="clear"/>
          </w:tcPr>
          <w:p>
            <w:pPr>
              <w:jc w:val="right"/>
            </w:pPr>
            <w:r>
              <w:rPr>
                <w:rFonts w:ascii="Arial" w:hAnsi="Arial"/>
                <w:sz w:val="18"/>
              </w:rPr>
              <w:t>6,842,831.26</w:t>
            </w:r>
          </w:p>
        </w:tc>
        <w:tc>
          <w:tcPr>
            <w:tcW w:type="dxa" w:w="1129"/>
            <w:shd w:fill="F2F6FC" w:val="clear"/>
          </w:tcPr>
          <w:p>
            <w:pPr>
              <w:jc w:val="right"/>
            </w:pPr>
            <w:r>
              <w:rPr>
                <w:rFonts w:ascii="Arial" w:hAnsi="Arial"/>
                <w:sz w:val="18"/>
              </w:rPr>
              <w:t>4,866,549.08</w:t>
            </w:r>
          </w:p>
        </w:tc>
        <w:tc>
          <w:tcPr>
            <w:tcW w:type="dxa" w:w="1129"/>
            <w:shd w:fill="F2F6FC" w:val="clear"/>
          </w:tcPr>
          <w:p>
            <w:pPr>
              <w:jc w:val="right"/>
            </w:pPr>
            <w:r>
              <w:rPr>
                <w:rFonts w:ascii="Arial" w:hAnsi="Arial"/>
                <w:sz w:val="18"/>
              </w:rPr>
              <w:t>55.09</w:t>
            </w:r>
          </w:p>
        </w:tc>
        <w:tc>
          <w:tcPr>
            <w:tcW w:type="dxa" w:w="1129"/>
            <w:shd w:fill="F2F6FC" w:val="clear"/>
          </w:tcPr>
          <w:p>
            <w:pPr>
              <w:jc w:val="right"/>
            </w:pPr>
            <w:r>
              <w:rPr>
                <w:rFonts w:ascii="Arial" w:hAnsi="Arial"/>
                <w:sz w:val="18"/>
              </w:rPr>
              <w:t>8.14%</w:t>
            </w:r>
          </w:p>
        </w:tc>
        <w:tc>
          <w:tcPr>
            <w:tcW w:type="dxa" w:w="1129"/>
            <w:shd w:fill="F2F6FC" w:val="clear"/>
          </w:tcPr>
          <w:p>
            <w:pPr>
              <w:jc w:val="right"/>
            </w:pPr>
            <w:r>
              <w:rPr>
                <w:rFonts w:ascii="Arial" w:hAnsi="Arial"/>
                <w:sz w:val="18"/>
              </w:rPr>
              <w:t>29.87%</w:t>
            </w:r>
          </w:p>
        </w:tc>
        <w:tc>
          <w:tcPr>
            <w:tcW w:type="dxa" w:w="1129"/>
            <w:shd w:fill="F2F6FC" w:val="clear"/>
          </w:tcPr>
          <w:p>
            <w:pPr>
              <w:jc w:val="right"/>
            </w:pPr>
            <w:r>
              <w:rPr>
                <w:rFonts w:ascii="Arial" w:hAnsi="Arial"/>
                <w:sz w:val="18"/>
              </w:rPr>
              <w:t>3.46</w:t>
            </w:r>
          </w:p>
        </w:tc>
      </w:tr>
      <w:tr>
        <w:tc>
          <w:tcPr>
            <w:tcW w:type="dxa" w:w="1129"/>
          </w:tcPr>
          <w:p>
            <w:r>
              <w:rPr>
                <w:rFonts w:ascii="Arial" w:hAnsi="Arial"/>
                <w:sz w:val="18"/>
              </w:rPr>
              <w:t>Manufacturing - Steel</w:t>
            </w:r>
          </w:p>
        </w:tc>
        <w:tc>
          <w:tcPr>
            <w:tcW w:type="dxa" w:w="1129"/>
          </w:tcPr>
          <w:p>
            <w:pPr>
              <w:jc w:val="right"/>
            </w:pPr>
            <w:r>
              <w:rPr>
                <w:rFonts w:ascii="Arial" w:hAnsi="Arial"/>
                <w:sz w:val="18"/>
              </w:rPr>
              <w:t>99.10</w:t>
            </w:r>
          </w:p>
        </w:tc>
        <w:tc>
          <w:tcPr>
            <w:tcW w:type="dxa" w:w="1129"/>
          </w:tcPr>
          <w:p>
            <w:pPr>
              <w:jc w:val="right"/>
            </w:pPr>
            <w:r>
              <w:rPr>
                <w:rFonts w:ascii="Arial" w:hAnsi="Arial"/>
                <w:sz w:val="18"/>
              </w:rPr>
              <w:t>2,831,864.27</w:t>
            </w:r>
          </w:p>
        </w:tc>
        <w:tc>
          <w:tcPr>
            <w:tcW w:type="dxa" w:w="1129"/>
          </w:tcPr>
          <w:p>
            <w:pPr>
              <w:jc w:val="right"/>
            </w:pPr>
            <w:r>
              <w:rPr>
                <w:rFonts w:ascii="Arial" w:hAnsi="Arial"/>
                <w:sz w:val="18"/>
              </w:rPr>
              <w:t>1,900,280.86</w:t>
            </w:r>
          </w:p>
        </w:tc>
        <w:tc>
          <w:tcPr>
            <w:tcW w:type="dxa" w:w="1129"/>
          </w:tcPr>
          <w:p>
            <w:pPr>
              <w:jc w:val="right"/>
            </w:pPr>
            <w:r>
              <w:rPr>
                <w:rFonts w:ascii="Arial" w:hAnsi="Arial"/>
                <w:sz w:val="18"/>
              </w:rPr>
              <w:t>28.58</w:t>
            </w:r>
          </w:p>
        </w:tc>
        <w:tc>
          <w:tcPr>
            <w:tcW w:type="dxa" w:w="1129"/>
          </w:tcPr>
          <w:p>
            <w:pPr>
              <w:jc w:val="right"/>
            </w:pPr>
            <w:r>
              <w:rPr>
                <w:rFonts w:ascii="Arial" w:hAnsi="Arial"/>
                <w:sz w:val="18"/>
              </w:rPr>
              <w:t>6.49%</w:t>
            </w:r>
          </w:p>
        </w:tc>
        <w:tc>
          <w:tcPr>
            <w:tcW w:type="dxa" w:w="1129"/>
          </w:tcPr>
          <w:p>
            <w:pPr>
              <w:jc w:val="right"/>
            </w:pPr>
            <w:r>
              <w:rPr>
                <w:rFonts w:ascii="Arial" w:hAnsi="Arial"/>
                <w:sz w:val="18"/>
              </w:rPr>
              <w:t>12.36%</w:t>
            </w:r>
          </w:p>
        </w:tc>
        <w:tc>
          <w:tcPr>
            <w:tcW w:type="dxa" w:w="1129"/>
          </w:tcPr>
          <w:p>
            <w:pPr>
              <w:jc w:val="right"/>
            </w:pPr>
            <w:r>
              <w:rPr>
                <w:rFonts w:ascii="Arial" w:hAnsi="Arial"/>
                <w:sz w:val="18"/>
              </w:rPr>
              <w:t>3.34</w:t>
            </w:r>
          </w:p>
        </w:tc>
      </w:tr>
      <w:tr>
        <w:tc>
          <w:tcPr>
            <w:tcW w:type="dxa" w:w="1129"/>
            <w:shd w:fill="F2F6FC" w:val="clear"/>
          </w:tcPr>
          <w:p>
            <w:r>
              <w:rPr>
                <w:rFonts w:ascii="Arial" w:hAnsi="Arial"/>
                <w:sz w:val="18"/>
              </w:rPr>
              <w:t>Transportation - Road</w:t>
            </w:r>
          </w:p>
        </w:tc>
        <w:tc>
          <w:tcPr>
            <w:tcW w:type="dxa" w:w="1129"/>
            <w:shd w:fill="F2F6FC" w:val="clear"/>
          </w:tcPr>
          <w:p>
            <w:pPr>
              <w:jc w:val="right"/>
            </w:pPr>
            <w:r>
              <w:rPr>
                <w:rFonts w:ascii="Arial" w:hAnsi="Arial"/>
                <w:sz w:val="18"/>
              </w:rPr>
              <w:t>140.25</w:t>
            </w:r>
          </w:p>
        </w:tc>
        <w:tc>
          <w:tcPr>
            <w:tcW w:type="dxa" w:w="1129"/>
            <w:shd w:fill="F2F6FC" w:val="clear"/>
          </w:tcPr>
          <w:p>
            <w:pPr>
              <w:jc w:val="right"/>
            </w:pPr>
            <w:r>
              <w:rPr>
                <w:rFonts w:ascii="Arial" w:hAnsi="Arial"/>
                <w:sz w:val="18"/>
              </w:rPr>
              <w:t>1,121,230.05</w:t>
            </w:r>
          </w:p>
        </w:tc>
        <w:tc>
          <w:tcPr>
            <w:tcW w:type="dxa" w:w="1129"/>
            <w:shd w:fill="F2F6FC" w:val="clear"/>
          </w:tcPr>
          <w:p>
            <w:pPr>
              <w:jc w:val="right"/>
            </w:pPr>
            <w:r>
              <w:rPr>
                <w:rFonts w:ascii="Arial" w:hAnsi="Arial"/>
                <w:sz w:val="18"/>
              </w:rPr>
              <w:t>834,717.56</w:t>
            </w:r>
          </w:p>
        </w:tc>
        <w:tc>
          <w:tcPr>
            <w:tcW w:type="dxa" w:w="1129"/>
            <w:shd w:fill="F2F6FC" w:val="clear"/>
          </w:tcPr>
          <w:p>
            <w:pPr>
              <w:jc w:val="right"/>
            </w:pPr>
            <w:r>
              <w:rPr>
                <w:rFonts w:ascii="Arial" w:hAnsi="Arial"/>
                <w:sz w:val="18"/>
              </w:rPr>
              <w:t>7.99</w:t>
            </w:r>
          </w:p>
        </w:tc>
        <w:tc>
          <w:tcPr>
            <w:tcW w:type="dxa" w:w="1129"/>
            <w:shd w:fill="F2F6FC" w:val="clear"/>
          </w:tcPr>
          <w:p>
            <w:pPr>
              <w:jc w:val="right"/>
            </w:pPr>
            <w:r>
              <w:rPr>
                <w:rFonts w:ascii="Arial" w:hAnsi="Arial"/>
                <w:sz w:val="18"/>
              </w:rPr>
              <w:t>9.19%</w:t>
            </w:r>
          </w:p>
        </w:tc>
        <w:tc>
          <w:tcPr>
            <w:tcW w:type="dxa" w:w="1129"/>
            <w:shd w:fill="F2F6FC" w:val="clear"/>
          </w:tcPr>
          <w:p>
            <w:pPr>
              <w:jc w:val="right"/>
            </w:pPr>
            <w:r>
              <w:rPr>
                <w:rFonts w:ascii="Arial" w:hAnsi="Arial"/>
                <w:sz w:val="18"/>
              </w:rPr>
              <w:t>4.89%</w:t>
            </w:r>
          </w:p>
        </w:tc>
        <w:tc>
          <w:tcPr>
            <w:tcW w:type="dxa" w:w="1129"/>
            <w:shd w:fill="F2F6FC" w:val="clear"/>
          </w:tcPr>
          <w:p>
            <w:pPr>
              <w:jc w:val="right"/>
            </w:pPr>
            <w:r>
              <w:rPr>
                <w:rFonts w:ascii="Arial" w:hAnsi="Arial"/>
                <w:sz w:val="18"/>
              </w:rPr>
              <w:t>3.35</w:t>
            </w:r>
          </w:p>
        </w:tc>
      </w:tr>
      <w:tr>
        <w:tc>
          <w:tcPr>
            <w:tcW w:type="dxa" w:w="1129"/>
          </w:tcPr>
          <w:p>
            <w:r>
              <w:rPr>
                <w:rFonts w:ascii="Arial" w:hAnsi="Arial"/>
                <w:sz w:val="18"/>
              </w:rPr>
              <w:t>Manufacturing - Food &amp; Beverage</w:t>
            </w:r>
          </w:p>
        </w:tc>
        <w:tc>
          <w:tcPr>
            <w:tcW w:type="dxa" w:w="1129"/>
          </w:tcPr>
          <w:p>
            <w:pPr>
              <w:jc w:val="right"/>
            </w:pPr>
            <w:r>
              <w:rPr>
                <w:rFonts w:ascii="Arial" w:hAnsi="Arial"/>
                <w:sz w:val="18"/>
              </w:rPr>
              <w:t>156.87</w:t>
            </w:r>
          </w:p>
        </w:tc>
        <w:tc>
          <w:tcPr>
            <w:tcW w:type="dxa" w:w="1129"/>
          </w:tcPr>
          <w:p>
            <w:pPr>
              <w:jc w:val="right"/>
            </w:pPr>
            <w:r>
              <w:rPr>
                <w:rFonts w:ascii="Arial" w:hAnsi="Arial"/>
                <w:sz w:val="18"/>
              </w:rPr>
              <w:t>914,897.31</w:t>
            </w:r>
          </w:p>
        </w:tc>
        <w:tc>
          <w:tcPr>
            <w:tcW w:type="dxa" w:w="1129"/>
          </w:tcPr>
          <w:p>
            <w:pPr>
              <w:jc w:val="right"/>
            </w:pPr>
            <w:r>
              <w:rPr>
                <w:rFonts w:ascii="Arial" w:hAnsi="Arial"/>
                <w:sz w:val="18"/>
              </w:rPr>
              <w:t>647,603.74</w:t>
            </w:r>
          </w:p>
        </w:tc>
        <w:tc>
          <w:tcPr>
            <w:tcW w:type="dxa" w:w="1129"/>
          </w:tcPr>
          <w:p>
            <w:pPr>
              <w:jc w:val="right"/>
            </w:pPr>
            <w:r>
              <w:rPr>
                <w:rFonts w:ascii="Arial" w:hAnsi="Arial"/>
                <w:sz w:val="18"/>
              </w:rPr>
              <w:t>5.83</w:t>
            </w:r>
          </w:p>
        </w:tc>
        <w:tc>
          <w:tcPr>
            <w:tcW w:type="dxa" w:w="1129"/>
          </w:tcPr>
          <w:p>
            <w:pPr>
              <w:jc w:val="right"/>
            </w:pPr>
            <w:r>
              <w:rPr>
                <w:rFonts w:ascii="Arial" w:hAnsi="Arial"/>
                <w:sz w:val="18"/>
              </w:rPr>
              <w:t>10.27%</w:t>
            </w:r>
          </w:p>
        </w:tc>
        <w:tc>
          <w:tcPr>
            <w:tcW w:type="dxa" w:w="1129"/>
          </w:tcPr>
          <w:p>
            <w:pPr>
              <w:jc w:val="right"/>
            </w:pPr>
            <w:r>
              <w:rPr>
                <w:rFonts w:ascii="Arial" w:hAnsi="Arial"/>
                <w:sz w:val="18"/>
              </w:rPr>
              <w:t>3.99%</w:t>
            </w:r>
          </w:p>
        </w:tc>
        <w:tc>
          <w:tcPr>
            <w:tcW w:type="dxa" w:w="1129"/>
          </w:tcPr>
          <w:p>
            <w:pPr>
              <w:jc w:val="right"/>
            </w:pPr>
            <w:r>
              <w:rPr>
                <w:rFonts w:ascii="Arial" w:hAnsi="Arial"/>
                <w:sz w:val="18"/>
              </w:rPr>
              <w:t>3.42</w:t>
            </w:r>
          </w:p>
        </w:tc>
      </w:tr>
    </w:tbl>
    <w:p>
      <w:r>
        <w:rPr>
          <w:rFonts w:ascii="Arial" w:hAnsi="Arial"/>
          <w:i/>
          <w:sz w:val="16"/>
        </w:rPr>
        <w:t>Source: Source: Internal PCAF calculation system. Gross emissions represent unadjusted attribution; weighted emissions apply PCAF confidence factors. Emission intensity calculated as weighted emissions per IDR billion outstanding.</w:t>
      </w:r>
    </w:p>
    <w:p/>
    <w:p>
      <w:r>
        <w:rPr>
          <w:rFonts w:ascii="Arial" w:hAnsi="Arial"/>
          <w:b/>
          <w:sz w:val="20"/>
        </w:rPr>
        <w:t>Table 2: PCAF Data Quality Score Distribution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PCAF Score</w:t>
            </w:r>
          </w:p>
        </w:tc>
        <w:tc>
          <w:tcPr>
            <w:tcW w:type="dxa" w:w="1806"/>
            <w:shd w:fill="1B3A6B" w:val="clear"/>
          </w:tcPr>
          <w:p>
            <w:r>
              <w:rPr>
                <w:rFonts w:ascii="Arial" w:hAnsi="Arial"/>
                <w:b/>
                <w:color w:val="FFFFFF"/>
                <w:sz w:val="18"/>
              </w:rPr>
              <w:t>Data Quality Tier</w:t>
            </w:r>
          </w:p>
        </w:tc>
        <w:tc>
          <w:tcPr>
            <w:tcW w:type="dxa" w:w="1806"/>
            <w:shd w:fill="1B3A6B" w:val="clear"/>
          </w:tcPr>
          <w:p>
            <w:r>
              <w:rPr>
                <w:rFonts w:ascii="Arial" w:hAnsi="Arial"/>
                <w:b/>
                <w:color w:val="FFFFFF"/>
                <w:sz w:val="18"/>
              </w:rPr>
              <w:t>Confidence Factor</w:t>
            </w:r>
          </w:p>
        </w:tc>
        <w:tc>
          <w:tcPr>
            <w:tcW w:type="dxa" w:w="1806"/>
            <w:shd w:fill="1B3A6B" w:val="clear"/>
          </w:tcPr>
          <w:p>
            <w:r>
              <w:rPr>
                <w:rFonts w:ascii="Arial" w:hAnsi="Arial"/>
                <w:b/>
                <w:color w:val="FFFFFF"/>
                <w:sz w:val="18"/>
              </w:rPr>
              <w:t>Description</w:t>
            </w:r>
          </w:p>
        </w:tc>
        <w:tc>
          <w:tcPr>
            <w:tcW w:type="dxa" w:w="1806"/>
            <w:shd w:fill="1B3A6B" w:val="clear"/>
          </w:tcPr>
          <w:p>
            <w:r>
              <w:rPr>
                <w:rFonts w:ascii="Arial" w:hAnsi="Arial"/>
                <w:b/>
                <w:color w:val="FFFFFF"/>
                <w:sz w:val="18"/>
              </w:rPr>
              <w:t>Portfolio Allocation</w:t>
            </w:r>
          </w:p>
        </w:tc>
      </w:tr>
      <w:tr>
        <w:tc>
          <w:tcPr>
            <w:tcW w:type="dxa" w:w="1806"/>
          </w:tcPr>
          <w:p>
            <w:pPr>
              <w:jc w:val="right"/>
            </w:pPr>
            <w:r>
              <w:rPr>
                <w:rFonts w:ascii="Arial" w:hAnsi="Arial"/>
                <w:sz w:val="18"/>
              </w:rPr>
              <w:t>1</w:t>
            </w:r>
          </w:p>
        </w:tc>
        <w:tc>
          <w:tcPr>
            <w:tcW w:type="dxa" w:w="1806"/>
          </w:tcPr>
          <w:p>
            <w:r>
              <w:rPr>
                <w:rFonts w:ascii="Arial" w:hAnsi="Arial"/>
                <w:sz w:val="18"/>
              </w:rPr>
              <w:t>Verified</w:t>
            </w:r>
          </w:p>
        </w:tc>
        <w:tc>
          <w:tcPr>
            <w:tcW w:type="dxa" w:w="1806"/>
          </w:tcPr>
          <w:p>
            <w:pPr>
              <w:jc w:val="right"/>
            </w:pPr>
            <w:r>
              <w:rPr>
                <w:rFonts w:ascii="Arial" w:hAnsi="Arial"/>
                <w:sz w:val="18"/>
              </w:rPr>
              <w:t>1.00</w:t>
            </w:r>
          </w:p>
        </w:tc>
        <w:tc>
          <w:tcPr>
            <w:tcW w:type="dxa" w:w="1806"/>
          </w:tcPr>
          <w:p>
            <w:r>
              <w:rPr>
                <w:rFonts w:ascii="Arial" w:hAnsi="Arial"/>
                <w:sz w:val="18"/>
              </w:rPr>
              <w:t>Borrower-reported, third-party verified (CDP/equivalent)</w:t>
            </w:r>
          </w:p>
        </w:tc>
        <w:tc>
          <w:tcPr>
            <w:tcW w:type="dxa" w:w="1806"/>
          </w:tcPr>
          <w:p>
            <w:r>
              <w:rPr>
                <w:rFonts w:ascii="Arial" w:hAnsi="Arial"/>
                <w:sz w:val="18"/>
              </w:rPr>
              <w:t>Not disclosed</w:t>
            </w:r>
          </w:p>
        </w:tc>
      </w:tr>
      <w:tr>
        <w:tc>
          <w:tcPr>
            <w:tcW w:type="dxa" w:w="1806"/>
            <w:shd w:fill="F2F6FC" w:val="clear"/>
          </w:tcPr>
          <w:p>
            <w:pPr>
              <w:jc w:val="right"/>
            </w:pPr>
            <w:r>
              <w:rPr>
                <w:rFonts w:ascii="Arial" w:hAnsi="Arial"/>
                <w:sz w:val="18"/>
              </w:rPr>
              <w:t>2</w:t>
            </w:r>
          </w:p>
        </w:tc>
        <w:tc>
          <w:tcPr>
            <w:tcW w:type="dxa" w:w="1806"/>
            <w:shd w:fill="F2F6FC" w:val="clear"/>
          </w:tcPr>
          <w:p>
            <w:r>
              <w:rPr>
                <w:rFonts w:ascii="Arial" w:hAnsi="Arial"/>
                <w:sz w:val="18"/>
              </w:rPr>
              <w:t>Reported</w:t>
            </w:r>
          </w:p>
        </w:tc>
        <w:tc>
          <w:tcPr>
            <w:tcW w:type="dxa" w:w="1806"/>
            <w:shd w:fill="F2F6FC" w:val="clear"/>
          </w:tcPr>
          <w:p>
            <w:pPr>
              <w:jc w:val="right"/>
            </w:pPr>
            <w:r>
              <w:rPr>
                <w:rFonts w:ascii="Arial" w:hAnsi="Arial"/>
                <w:sz w:val="18"/>
              </w:rPr>
              <w:t>0.90</w:t>
            </w:r>
          </w:p>
        </w:tc>
        <w:tc>
          <w:tcPr>
            <w:tcW w:type="dxa" w:w="1806"/>
            <w:shd w:fill="F2F6FC" w:val="clear"/>
          </w:tcPr>
          <w:p>
            <w:r>
              <w:rPr>
                <w:rFonts w:ascii="Arial" w:hAnsi="Arial"/>
                <w:sz w:val="18"/>
              </w:rPr>
              <w:t>Borrower-reported, unverified</w:t>
            </w:r>
          </w:p>
        </w:tc>
        <w:tc>
          <w:tcPr>
            <w:tcW w:type="dxa" w:w="1806"/>
            <w:shd w:fill="F2F6FC" w:val="clear"/>
          </w:tcPr>
          <w:p>
            <w:r>
              <w:rPr>
                <w:rFonts w:ascii="Arial" w:hAnsi="Arial"/>
                <w:sz w:val="18"/>
              </w:rPr>
              <w:t>Not disclosed</w:t>
            </w:r>
          </w:p>
        </w:tc>
      </w:tr>
      <w:tr>
        <w:tc>
          <w:tcPr>
            <w:tcW w:type="dxa" w:w="1806"/>
          </w:tcPr>
          <w:p>
            <w:pPr>
              <w:jc w:val="right"/>
            </w:pPr>
            <w:r>
              <w:rPr>
                <w:rFonts w:ascii="Arial" w:hAnsi="Arial"/>
                <w:sz w:val="18"/>
              </w:rPr>
              <w:t>3</w:t>
            </w:r>
          </w:p>
        </w:tc>
        <w:tc>
          <w:tcPr>
            <w:tcW w:type="dxa" w:w="1806"/>
          </w:tcPr>
          <w:p>
            <w:r>
              <w:rPr>
                <w:rFonts w:ascii="Arial" w:hAnsi="Arial"/>
                <w:sz w:val="18"/>
              </w:rPr>
              <w:t>EEIO + Revenue</w:t>
            </w:r>
          </w:p>
        </w:tc>
        <w:tc>
          <w:tcPr>
            <w:tcW w:type="dxa" w:w="1806"/>
          </w:tcPr>
          <w:p>
            <w:pPr>
              <w:jc w:val="right"/>
            </w:pPr>
            <w:r>
              <w:rPr>
                <w:rFonts w:ascii="Arial" w:hAnsi="Arial"/>
                <w:sz w:val="18"/>
              </w:rPr>
              <w:t>0.75</w:t>
            </w:r>
          </w:p>
        </w:tc>
        <w:tc>
          <w:tcPr>
            <w:tcW w:type="dxa" w:w="1806"/>
          </w:tcPr>
          <w:p>
            <w:r>
              <w:rPr>
                <w:rFonts w:ascii="Arial" w:hAnsi="Arial"/>
                <w:sz w:val="18"/>
              </w:rPr>
              <w:t>EEIO model with revenue data</w:t>
            </w:r>
          </w:p>
        </w:tc>
        <w:tc>
          <w:tcPr>
            <w:tcW w:type="dxa" w:w="1806"/>
          </w:tcPr>
          <w:p>
            <w:r>
              <w:rPr>
                <w:rFonts w:ascii="Arial" w:hAnsi="Arial"/>
                <w:sz w:val="18"/>
              </w:rPr>
              <w:t>Predominant</w:t>
            </w:r>
          </w:p>
        </w:tc>
      </w:tr>
      <w:tr>
        <w:tc>
          <w:tcPr>
            <w:tcW w:type="dxa" w:w="1806"/>
            <w:shd w:fill="F2F6FC" w:val="clear"/>
          </w:tcPr>
          <w:p>
            <w:pPr>
              <w:jc w:val="right"/>
            </w:pPr>
            <w:r>
              <w:rPr>
                <w:rFonts w:ascii="Arial" w:hAnsi="Arial"/>
                <w:sz w:val="18"/>
              </w:rPr>
              <w:t>4</w:t>
            </w:r>
          </w:p>
        </w:tc>
        <w:tc>
          <w:tcPr>
            <w:tcW w:type="dxa" w:w="1806"/>
            <w:shd w:fill="F2F6FC" w:val="clear"/>
          </w:tcPr>
          <w:p>
            <w:r>
              <w:rPr>
                <w:rFonts w:ascii="Arial" w:hAnsi="Arial"/>
                <w:sz w:val="18"/>
              </w:rPr>
              <w:t>EEIO + Assets</w:t>
            </w:r>
          </w:p>
        </w:tc>
        <w:tc>
          <w:tcPr>
            <w:tcW w:type="dxa" w:w="1806"/>
            <w:shd w:fill="F2F6FC" w:val="clear"/>
          </w:tcPr>
          <w:p>
            <w:pPr>
              <w:jc w:val="right"/>
            </w:pPr>
            <w:r>
              <w:rPr>
                <w:rFonts w:ascii="Arial" w:hAnsi="Arial"/>
                <w:sz w:val="18"/>
              </w:rPr>
              <w:t>0.60</w:t>
            </w:r>
          </w:p>
        </w:tc>
        <w:tc>
          <w:tcPr>
            <w:tcW w:type="dxa" w:w="1806"/>
            <w:shd w:fill="F2F6FC" w:val="clear"/>
          </w:tcPr>
          <w:p>
            <w:r>
              <w:rPr>
                <w:rFonts w:ascii="Arial" w:hAnsi="Arial"/>
                <w:sz w:val="18"/>
              </w:rPr>
              <w:t>EEIO model with asset data</w:t>
            </w:r>
          </w:p>
        </w:tc>
        <w:tc>
          <w:tcPr>
            <w:tcW w:type="dxa" w:w="1806"/>
            <w:shd w:fill="F2F6FC" w:val="clear"/>
          </w:tcPr>
          <w:p>
            <w:r>
              <w:rPr>
                <w:rFonts w:ascii="Arial" w:hAnsi="Arial"/>
                <w:sz w:val="18"/>
              </w:rPr>
              <w:t>Significant</w:t>
            </w:r>
          </w:p>
        </w:tc>
      </w:tr>
      <w:tr>
        <w:tc>
          <w:tcPr>
            <w:tcW w:type="dxa" w:w="1806"/>
          </w:tcPr>
          <w:p>
            <w:pPr>
              <w:jc w:val="right"/>
            </w:pPr>
            <w:r>
              <w:rPr>
                <w:rFonts w:ascii="Arial" w:hAnsi="Arial"/>
                <w:sz w:val="18"/>
              </w:rPr>
              <w:t>5</w:t>
            </w:r>
          </w:p>
        </w:tc>
        <w:tc>
          <w:tcPr>
            <w:tcW w:type="dxa" w:w="1806"/>
          </w:tcPr>
          <w:p>
            <w:r>
              <w:rPr>
                <w:rFonts w:ascii="Arial" w:hAnsi="Arial"/>
                <w:sz w:val="18"/>
              </w:rPr>
              <w:t>Sector Average</w:t>
            </w:r>
          </w:p>
        </w:tc>
        <w:tc>
          <w:tcPr>
            <w:tcW w:type="dxa" w:w="1806"/>
          </w:tcPr>
          <w:p>
            <w:pPr>
              <w:jc w:val="right"/>
            </w:pPr>
            <w:r>
              <w:rPr>
                <w:rFonts w:ascii="Arial" w:hAnsi="Arial"/>
                <w:sz w:val="18"/>
              </w:rPr>
              <w:t>0.45</w:t>
            </w:r>
          </w:p>
        </w:tc>
        <w:tc>
          <w:tcPr>
            <w:tcW w:type="dxa" w:w="1806"/>
          </w:tcPr>
          <w:p>
            <w:r>
              <w:rPr>
                <w:rFonts w:ascii="Arial" w:hAnsi="Arial"/>
                <w:sz w:val="18"/>
              </w:rPr>
              <w:t>Sector-average proxy</w:t>
            </w:r>
          </w:p>
        </w:tc>
        <w:tc>
          <w:tcPr>
            <w:tcW w:type="dxa" w:w="1806"/>
          </w:tcPr>
          <w:p>
            <w:r>
              <w:rPr>
                <w:rFonts w:ascii="Arial" w:hAnsi="Arial"/>
                <w:sz w:val="18"/>
              </w:rPr>
              <w:t>Minimal</w:t>
            </w:r>
          </w:p>
        </w:tc>
      </w:tr>
    </w:tbl>
    <w:p>
      <w:r>
        <w:rPr>
          <w:rFonts w:ascii="Arial" w:hAnsi="Arial"/>
          <w:i/>
          <w:sz w:val="16"/>
        </w:rPr>
        <w:t>Source: Source: PCAF Global GHG Accounting Standard. Portfolio-weighted average score: 3.43. Specific score distribution percentages not yet captured in reporting system.</w:t>
      </w:r>
    </w:p>
    <w:p/>
    <w:p>
      <w:r>
        <w:rPr>
          <w:i/>
          <w:color w:val="3D6094"/>
          <w:sz w:val="18"/>
        </w:rPr>
        <w:t>Framework references: GRI 305-3; PCAF Global GHG Accounting Standard (2022); GHG Protocol Corporate Value Chain (Scope 3) Standard; TCFD Metrics and Targets (financed emissions)</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Financed emissions calculated using PCAF Global GHG Accounting Standard (2022 edition). Attribution factor = Outstanding Amount ÷ (Borrower Equity + Borrower Debt).</w:t>
      </w:r>
    </w:p>
    <w:p>
      <w:pPr>
        <w:spacing w:after="160" w:line="276" w:lineRule="auto"/>
        <w:jc w:val="both"/>
      </w:pPr>
      <w:r>
        <w:rPr>
          <w:rFonts w:ascii="Arial" w:hAnsi="Arial"/>
          <w:i/>
          <w:color w:val="646464"/>
          <w:sz w:val="18"/>
        </w:rPr>
        <w:t>Gross emissions represent unadjusted attribution based on financing relationships. Confidence-weighted emissions apply PCAF confidence factors (0.45-1.00) to reflect data quality limitations.</w:t>
      </w:r>
    </w:p>
    <w:p>
      <w:pPr>
        <w:spacing w:after="160" w:line="276" w:lineRule="auto"/>
        <w:jc w:val="both"/>
      </w:pPr>
      <w:r>
        <w:rPr>
          <w:rFonts w:ascii="Arial" w:hAnsi="Arial"/>
          <w:i/>
          <w:color w:val="646464"/>
          <w:sz w:val="18"/>
        </w:rPr>
        <w:t>EEIO = Environmentally-Extended Input-Output economic model. Used for borrowers without direct emissions disclosures.</w:t>
      </w:r>
    </w:p>
    <w:p>
      <w:pPr>
        <w:spacing w:after="160" w:line="276" w:lineRule="auto"/>
        <w:jc w:val="both"/>
      </w:pPr>
      <w:r>
        <w:rPr>
          <w:rFonts w:ascii="Arial" w:hAnsi="Arial"/>
          <w:i/>
          <w:color w:val="646464"/>
          <w:sz w:val="18"/>
        </w:rPr>
        <w:t>Emission intensity metrics calculated as confidence-weighted emissions per IDR billion outstanding for each sector.</w:t>
      </w:r>
    </w:p>
    <w:p>
      <w:pPr>
        <w:spacing w:after="160" w:line="276" w:lineRule="auto"/>
        <w:jc w:val="both"/>
      </w:pPr>
      <w:r>
        <w:rPr>
          <w:rFonts w:ascii="Arial" w:hAnsi="Arial"/>
          <w:i/>
          <w:color w:val="646464"/>
          <w:sz w:val="18"/>
        </w:rPr>
        <w:t>Portfolio coverage percentage and high-quality data percentage (PCAF Score 1-2) not yet captured in reporting system. Recommended for inclusion in subsequent reporting periods.</w:t>
      </w:r>
    </w:p>
    <w:p>
      <w:pPr>
        <w:spacing w:after="160" w:line="276" w:lineRule="auto"/>
        <w:jc w:val="both"/>
      </w:pPr>
      <w:r>
        <w:rPr>
          <w:rFonts w:ascii="Arial" w:hAnsi="Arial"/>
          <w:i/>
          <w:color w:val="646464"/>
          <w:sz w:val="18"/>
        </w:rPr>
        <w:t>GRI Content Index: 305-3 | Other indirect (Scope 3) GHG emissions | Section 4.3</w:t>
      </w:r>
    </w:p>
    <w:p>
      <w:pPr>
        <w:pStyle w:val="Heading1"/>
        <w:keepNext/>
        <w:spacing w:before="480" w:after="240"/>
      </w:pPr>
      <w:r>
        <w:rPr>
          <w:rFonts w:ascii="Arial" w:hAnsi="Arial"/>
          <w:b/>
          <w:color w:val="1B3A6B"/>
          <w:sz w:val="36"/>
        </w:rPr>
        <w:t>GRI 305-4: GHG Emissions Intensity</w:t>
      </w:r>
    </w:p>
    <w:p>
      <w:pPr>
        <w:spacing w:after="160" w:line="276" w:lineRule="auto"/>
        <w:jc w:val="both"/>
      </w:pPr>
      <w:r>
        <w:rPr>
          <w:rFonts w:ascii="Arial" w:hAnsi="Arial"/>
          <w:sz w:val="22"/>
        </w:rPr>
        <w:t>The organization's GHG emissions intensity for the 2023 reporting period was 270.116632 tCO2e per IDR billion operating revenue and 1.956 tCO2e per full-time equivalent employee (FTE). These intensity metrics normalize the organization's absolute emissions against key operational parameters to enable performance tracking and comparability over time.</w:t>
      </w:r>
    </w:p>
    <w:p>
      <w:pPr>
        <w:spacing w:after="160" w:line="276" w:lineRule="auto"/>
        <w:jc w:val="both"/>
      </w:pPr>
      <w:r>
        <w:rPr>
          <w:rFonts w:ascii="Arial" w:hAnsi="Arial"/>
          <w:i/>
          <w:sz w:val="22"/>
        </w:rPr>
        <w:t>The revenue-based intensity ratio (270.116632 tCO2e per IDR billion) encompasses Scope 1 direct emissions (3,324.521 tCO2e), Scope 2 energy indirect emissions using the market-based method (44,598.118 tCO2e), and Scope 3 Category 15 financed emissions on a gross basis (22,911,991.05 tCO2e), totaling 22,959,913.689 tCO2e. The denominator represents total operating revenue for the 2023 fiscal year. The FTE-based intensity ratio (1.956 tCO2e per FTE) includes only operational emissions—Scope 1 and Scope 2 market-based—totaling 47,922.639 tCO2e, divided by 24,500 full-time equivalent employees as of December 31, 2023. This distinction reflects the operational control consolidation approach, where financed emissions are attributed to the organization's lending portfolio rather than direct workforce operations.</w:t>
      </w:r>
    </w:p>
    <w:p>
      <w:pPr>
        <w:spacing w:after="160" w:line="276" w:lineRule="auto"/>
        <w:jc w:val="both"/>
      </w:pPr>
      <w:r>
        <w:rPr>
          <w:rFonts w:ascii="Arial" w:hAnsi="Arial"/>
          <w:i/>
          <w:sz w:val="22"/>
        </w:rPr>
        <w:t>The organization-specific metrics selected as denominators align with GRI 305-4 requirements for financial institutions. Operating revenue (IDR billion) serves as the primary denominator for comprehensive emissions intensity because it reflects the scale of the organization's financial intermediation activities, which drive both operational and financed emissions. Revenue data is sourced from audited consolidated financial statements prepared under Indonesian Financial Accounting Standards (PSAK). The FTE count (24,500) represents permanent employees under operational control as of the reporting date, excluding contractors and temporary staff, consistent with the organization's human resources reporting boundary. This metric isolates operational emissions intensity independent of portfolio composition.</w:t>
      </w:r>
    </w:p>
    <w:p>
      <w:pPr>
        <w:spacing w:after="160" w:line="276" w:lineRule="auto"/>
        <w:jc w:val="both"/>
      </w:pPr>
      <w:r>
        <w:rPr>
          <w:rFonts w:ascii="Arial" w:hAnsi="Arial"/>
          <w:sz w:val="22"/>
        </w:rPr>
        <w:t>Year-over-year comparison of intensity metrics is not available for the 2023 reporting period. This data point is not yet captured in the institution's reporting system. GRI 305-4 recommends reporting intensity trends to demonstrate progress toward decarbonization targets. The organization should establish 2023 as the base year for future intensity tracking and implement systems to calculate year-over-year percentage changes in both revenue-based and FTE-based intensity ratios for the 2024 reporting cycle.</w:t>
      </w:r>
    </w:p>
    <w:p>
      <w:pPr>
        <w:spacing w:after="160" w:line="276" w:lineRule="auto"/>
        <w:jc w:val="both"/>
      </w:pPr>
      <w:r>
        <w:rPr>
          <w:rFonts w:ascii="Arial" w:hAnsi="Arial"/>
          <w:sz w:val="22"/>
        </w:rPr>
        <w:t>The revenue-based intensity of 270.116632 tCO2e per IDR billion is heavily influenced by the organization's exposure to carbon-intensive sectors within its lending portfolio. Financed emissions (Scope 3 Category 15) constitute 99.79% of total emissions included in this ratio, with Energy - Oil &amp; Gas (44.59% of financed emissions) and Manufacturing - Cement (29.87%) representing the largest contributors. The FTE-based intensity of 1.956 tCO2e per employee reflects the organization's operational footprint across 24,500 employees and multiple facilities, with Scope 2 energy indirect emissions accounting for 93.06% of operational emissions. This operational intensity is primarily driven by electricity consumption in office buildings and data centers under the organization's operational control.</w:t>
      </w:r>
    </w:p>
    <w:p>
      <w:r>
        <w:rPr>
          <w:rFonts w:ascii="Arial" w:hAnsi="Arial"/>
          <w:b/>
          <w:sz w:val="20"/>
        </w:rPr>
        <w:t>Table 4.4.1: GHG Emissions Intensity Calculation Methodology (2023)</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A6B" w:val="clear"/>
          </w:tcPr>
          <w:p>
            <w:r>
              <w:rPr>
                <w:rFonts w:ascii="Arial" w:hAnsi="Arial"/>
                <w:b/>
                <w:color w:val="FFFFFF"/>
                <w:sz w:val="18"/>
              </w:rPr>
              <w:t>Intensity Metric</w:t>
            </w:r>
          </w:p>
        </w:tc>
        <w:tc>
          <w:tcPr>
            <w:tcW w:type="dxa" w:w="1290"/>
            <w:shd w:fill="1B3A6B" w:val="clear"/>
          </w:tcPr>
          <w:p>
            <w:r>
              <w:rPr>
                <w:rFonts w:ascii="Arial" w:hAnsi="Arial"/>
                <w:b/>
                <w:color w:val="FFFFFF"/>
                <w:sz w:val="18"/>
              </w:rPr>
              <w:t>Numerator (tCO2e)</w:t>
            </w:r>
          </w:p>
        </w:tc>
        <w:tc>
          <w:tcPr>
            <w:tcW w:type="dxa" w:w="1290"/>
            <w:shd w:fill="1B3A6B" w:val="clear"/>
          </w:tcPr>
          <w:p>
            <w:r>
              <w:rPr>
                <w:rFonts w:ascii="Arial" w:hAnsi="Arial"/>
                <w:b/>
                <w:color w:val="FFFFFF"/>
                <w:sz w:val="18"/>
              </w:rPr>
              <w:t>Scope Coverage</w:t>
            </w:r>
          </w:p>
        </w:tc>
        <w:tc>
          <w:tcPr>
            <w:tcW w:type="dxa" w:w="1290"/>
            <w:shd w:fill="1B3A6B" w:val="clear"/>
          </w:tcPr>
          <w:p>
            <w:r>
              <w:rPr>
                <w:rFonts w:ascii="Arial" w:hAnsi="Arial"/>
                <w:b/>
                <w:color w:val="FFFFFF"/>
                <w:sz w:val="18"/>
              </w:rPr>
              <w:t>Denominator</w:t>
            </w:r>
          </w:p>
        </w:tc>
        <w:tc>
          <w:tcPr>
            <w:tcW w:type="dxa" w:w="1290"/>
            <w:shd w:fill="1B3A6B" w:val="clear"/>
          </w:tcPr>
          <w:p>
            <w:r>
              <w:rPr>
                <w:rFonts w:ascii="Arial" w:hAnsi="Arial"/>
                <w:b/>
                <w:color w:val="FFFFFF"/>
                <w:sz w:val="18"/>
              </w:rPr>
              <w:t>Denominator Value</w:t>
            </w:r>
          </w:p>
        </w:tc>
        <w:tc>
          <w:tcPr>
            <w:tcW w:type="dxa" w:w="1290"/>
            <w:shd w:fill="1B3A6B" w:val="clear"/>
          </w:tcPr>
          <w:p>
            <w:r>
              <w:rPr>
                <w:rFonts w:ascii="Arial" w:hAnsi="Arial"/>
                <w:b/>
                <w:color w:val="FFFFFF"/>
                <w:sz w:val="18"/>
              </w:rPr>
              <w:t>Intensity Ratio</w:t>
            </w:r>
          </w:p>
        </w:tc>
        <w:tc>
          <w:tcPr>
            <w:tcW w:type="dxa" w:w="1290"/>
            <w:shd w:fill="1B3A6B" w:val="clear"/>
          </w:tcPr>
          <w:p>
            <w:r>
              <w:rPr>
                <w:rFonts w:ascii="Arial" w:hAnsi="Arial"/>
                <w:b/>
                <w:color w:val="FFFFFF"/>
                <w:sz w:val="18"/>
              </w:rPr>
              <w:t>Unit</w:t>
            </w:r>
          </w:p>
        </w:tc>
      </w:tr>
      <w:tr>
        <w:tc>
          <w:tcPr>
            <w:tcW w:type="dxa" w:w="1290"/>
          </w:tcPr>
          <w:p>
            <w:r>
              <w:rPr>
                <w:rFonts w:ascii="Arial" w:hAnsi="Arial"/>
                <w:sz w:val="18"/>
              </w:rPr>
              <w:t>Revenue-based intensity</w:t>
            </w:r>
          </w:p>
        </w:tc>
        <w:tc>
          <w:tcPr>
            <w:tcW w:type="dxa" w:w="1290"/>
          </w:tcPr>
          <w:p>
            <w:pPr>
              <w:jc w:val="right"/>
            </w:pPr>
            <w:r>
              <w:rPr>
                <w:rFonts w:ascii="Arial" w:hAnsi="Arial"/>
                <w:sz w:val="18"/>
              </w:rPr>
              <w:t>22,959,913.689</w:t>
            </w:r>
          </w:p>
        </w:tc>
        <w:tc>
          <w:tcPr>
            <w:tcW w:type="dxa" w:w="1290"/>
          </w:tcPr>
          <w:p>
            <w:r>
              <w:rPr>
                <w:rFonts w:ascii="Arial" w:hAnsi="Arial"/>
                <w:sz w:val="18"/>
              </w:rPr>
              <w:t>Scope 1 + 2 (market-based) + 3 Cat 15 (gross)</w:t>
            </w:r>
          </w:p>
        </w:tc>
        <w:tc>
          <w:tcPr>
            <w:tcW w:type="dxa" w:w="1290"/>
          </w:tcPr>
          <w:p>
            <w:r>
              <w:rPr>
                <w:rFonts w:ascii="Arial" w:hAnsi="Arial"/>
                <w:sz w:val="18"/>
              </w:rPr>
              <w:t>Operating revenue</w:t>
            </w:r>
          </w:p>
        </w:tc>
        <w:tc>
          <w:tcPr>
            <w:tcW w:type="dxa" w:w="1290"/>
          </w:tcPr>
          <w:p>
            <w:pPr>
              <w:jc w:val="right"/>
            </w:pPr>
            <w:r>
              <w:rPr>
                <w:rFonts w:ascii="Arial" w:hAnsi="Arial"/>
                <w:sz w:val="18"/>
              </w:rPr>
              <w:t>85,000</w:t>
            </w:r>
          </w:p>
        </w:tc>
        <w:tc>
          <w:tcPr>
            <w:tcW w:type="dxa" w:w="1290"/>
          </w:tcPr>
          <w:p>
            <w:pPr>
              <w:jc w:val="right"/>
            </w:pPr>
            <w:r>
              <w:rPr>
                <w:rFonts w:ascii="Arial" w:hAnsi="Arial"/>
                <w:sz w:val="18"/>
              </w:rPr>
              <w:t>270.116632</w:t>
            </w:r>
          </w:p>
        </w:tc>
        <w:tc>
          <w:tcPr>
            <w:tcW w:type="dxa" w:w="1290"/>
          </w:tcPr>
          <w:p>
            <w:r>
              <w:rPr>
                <w:rFonts w:ascii="Arial" w:hAnsi="Arial"/>
                <w:sz w:val="18"/>
              </w:rPr>
              <w:t>tCO2e per IDR billion</w:t>
            </w:r>
          </w:p>
        </w:tc>
      </w:tr>
      <w:tr>
        <w:tc>
          <w:tcPr>
            <w:tcW w:type="dxa" w:w="1290"/>
            <w:shd w:fill="F2F6FC" w:val="clear"/>
          </w:tcPr>
          <w:p>
            <w:r>
              <w:rPr>
                <w:rFonts w:ascii="Arial" w:hAnsi="Arial"/>
                <w:sz w:val="18"/>
              </w:rPr>
              <w:t>FTE-based intensity</w:t>
            </w:r>
          </w:p>
        </w:tc>
        <w:tc>
          <w:tcPr>
            <w:tcW w:type="dxa" w:w="1290"/>
            <w:shd w:fill="F2F6FC" w:val="clear"/>
          </w:tcPr>
          <w:p>
            <w:pPr>
              <w:jc w:val="right"/>
            </w:pPr>
            <w:r>
              <w:rPr>
                <w:rFonts w:ascii="Arial" w:hAnsi="Arial"/>
                <w:sz w:val="18"/>
              </w:rPr>
              <w:t>47,922.639</w:t>
            </w:r>
          </w:p>
        </w:tc>
        <w:tc>
          <w:tcPr>
            <w:tcW w:type="dxa" w:w="1290"/>
            <w:shd w:fill="F2F6FC" w:val="clear"/>
          </w:tcPr>
          <w:p>
            <w:r>
              <w:rPr>
                <w:rFonts w:ascii="Arial" w:hAnsi="Arial"/>
                <w:sz w:val="18"/>
              </w:rPr>
              <w:t>Scope 1 + 2 (market-based)</w:t>
            </w:r>
          </w:p>
        </w:tc>
        <w:tc>
          <w:tcPr>
            <w:tcW w:type="dxa" w:w="1290"/>
            <w:shd w:fill="F2F6FC" w:val="clear"/>
          </w:tcPr>
          <w:p>
            <w:r>
              <w:rPr>
                <w:rFonts w:ascii="Arial" w:hAnsi="Arial"/>
                <w:sz w:val="18"/>
              </w:rPr>
              <w:t>Full-time equivalent employees</w:t>
            </w:r>
          </w:p>
        </w:tc>
        <w:tc>
          <w:tcPr>
            <w:tcW w:type="dxa" w:w="1290"/>
            <w:shd w:fill="F2F6FC" w:val="clear"/>
          </w:tcPr>
          <w:p>
            <w:pPr>
              <w:jc w:val="right"/>
            </w:pPr>
            <w:r>
              <w:rPr>
                <w:rFonts w:ascii="Arial" w:hAnsi="Arial"/>
                <w:sz w:val="18"/>
              </w:rPr>
              <w:t>24,500</w:t>
            </w:r>
          </w:p>
        </w:tc>
        <w:tc>
          <w:tcPr>
            <w:tcW w:type="dxa" w:w="1290"/>
            <w:shd w:fill="F2F6FC" w:val="clear"/>
          </w:tcPr>
          <w:p>
            <w:pPr>
              <w:jc w:val="right"/>
            </w:pPr>
            <w:r>
              <w:rPr>
                <w:rFonts w:ascii="Arial" w:hAnsi="Arial"/>
                <w:sz w:val="18"/>
              </w:rPr>
              <w:t>1.956</w:t>
            </w:r>
          </w:p>
        </w:tc>
        <w:tc>
          <w:tcPr>
            <w:tcW w:type="dxa" w:w="1290"/>
            <w:shd w:fill="F2F6FC" w:val="clear"/>
          </w:tcPr>
          <w:p>
            <w:r>
              <w:rPr>
                <w:rFonts w:ascii="Arial" w:hAnsi="Arial"/>
                <w:sz w:val="18"/>
              </w:rPr>
              <w:t>tCO2e per FTE</w:t>
            </w:r>
          </w:p>
        </w:tc>
      </w:tr>
    </w:tbl>
    <w:p>
      <w:r>
        <w:rPr>
          <w:rFonts w:ascii="Arial" w:hAnsi="Arial"/>
          <w:i/>
          <w:sz w:val="16"/>
        </w:rPr>
        <w:t>Source: Numerator values calculated as: Revenue intensity = 3,324.521 (Scope 1) + 44,598.118 (Scope 2 market-based) + 22,911,991.05 (Scope 3 Cat 15 gross) = 22,959,913.689 tCO2e. FTE intensity = 3,324.521 (Scope 1) + 44,598.118 (Scope 2 market-based) = 47,922.639 tCO2e. Scope 2 emissions calculated using market-based method per GRI 305-2. Denominators sourced from audited financial statements (revenue) and HR system of record (FTE count as of 2023-12-31).</w:t>
      </w:r>
    </w:p>
    <w:p/>
    <w:p>
      <w:r>
        <w:rPr>
          <w:rFonts w:ascii="Arial" w:hAnsi="Arial"/>
          <w:b/>
          <w:sz w:val="20"/>
        </w:rPr>
        <w:t>Table 4.4.2: Emissions Intensity Components by Scope (2023)</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Scope</w:t>
            </w:r>
          </w:p>
        </w:tc>
        <w:tc>
          <w:tcPr>
            <w:tcW w:type="dxa" w:w="1806"/>
            <w:shd w:fill="1B3A6B" w:val="clear"/>
          </w:tcPr>
          <w:p>
            <w:r>
              <w:rPr>
                <w:rFonts w:ascii="Arial" w:hAnsi="Arial"/>
                <w:b/>
                <w:color w:val="FFFFFF"/>
                <w:sz w:val="18"/>
              </w:rPr>
              <w:t>Absolute Emissions (tCO2e)</w:t>
            </w:r>
          </w:p>
        </w:tc>
        <w:tc>
          <w:tcPr>
            <w:tcW w:type="dxa" w:w="1806"/>
            <w:shd w:fill="1B3A6B" w:val="clear"/>
          </w:tcPr>
          <w:p>
            <w:r>
              <w:rPr>
                <w:rFonts w:ascii="Arial" w:hAnsi="Arial"/>
                <w:b/>
                <w:color w:val="FFFFFF"/>
                <w:sz w:val="18"/>
              </w:rPr>
              <w:t>% of Revenue Intensity Numerator</w:t>
            </w:r>
          </w:p>
        </w:tc>
        <w:tc>
          <w:tcPr>
            <w:tcW w:type="dxa" w:w="1806"/>
            <w:shd w:fill="1B3A6B" w:val="clear"/>
          </w:tcPr>
          <w:p>
            <w:r>
              <w:rPr>
                <w:rFonts w:ascii="Arial" w:hAnsi="Arial"/>
                <w:b/>
                <w:color w:val="FFFFFF"/>
                <w:sz w:val="18"/>
              </w:rPr>
              <w:t>% of FTE Intensity Numerator</w:t>
            </w:r>
          </w:p>
        </w:tc>
        <w:tc>
          <w:tcPr>
            <w:tcW w:type="dxa" w:w="1806"/>
            <w:shd w:fill="1B3A6B" w:val="clear"/>
          </w:tcPr>
          <w:p>
            <w:r>
              <w:rPr>
                <w:rFonts w:ascii="Arial" w:hAnsi="Arial"/>
                <w:b/>
                <w:color w:val="FFFFFF"/>
                <w:sz w:val="18"/>
              </w:rPr>
              <w:t>Gases Included</w:t>
            </w:r>
          </w:p>
        </w:tc>
      </w:tr>
      <w:tr>
        <w:tc>
          <w:tcPr>
            <w:tcW w:type="dxa" w:w="1806"/>
          </w:tcPr>
          <w:p>
            <w:r>
              <w:rPr>
                <w:rFonts w:ascii="Arial" w:hAnsi="Arial"/>
                <w:sz w:val="18"/>
              </w:rPr>
              <w:t>Scope 1 (Direct)</w:t>
            </w:r>
          </w:p>
        </w:tc>
        <w:tc>
          <w:tcPr>
            <w:tcW w:type="dxa" w:w="1806"/>
          </w:tcPr>
          <w:p>
            <w:pPr>
              <w:jc w:val="right"/>
            </w:pPr>
            <w:r>
              <w:rPr>
                <w:rFonts w:ascii="Arial" w:hAnsi="Arial"/>
                <w:sz w:val="18"/>
              </w:rPr>
              <w:t>3,324.521</w:t>
            </w:r>
          </w:p>
        </w:tc>
        <w:tc>
          <w:tcPr>
            <w:tcW w:type="dxa" w:w="1806"/>
          </w:tcPr>
          <w:p>
            <w:pPr>
              <w:jc w:val="right"/>
            </w:pPr>
            <w:r>
              <w:rPr>
                <w:rFonts w:ascii="Arial" w:hAnsi="Arial"/>
                <w:sz w:val="18"/>
              </w:rPr>
              <w:t>0.01%</w:t>
            </w:r>
          </w:p>
        </w:tc>
        <w:tc>
          <w:tcPr>
            <w:tcW w:type="dxa" w:w="1806"/>
          </w:tcPr>
          <w:p>
            <w:pPr>
              <w:jc w:val="right"/>
            </w:pPr>
            <w:r>
              <w:rPr>
                <w:rFonts w:ascii="Arial" w:hAnsi="Arial"/>
                <w:sz w:val="18"/>
              </w:rPr>
              <w:t>6.94%</w:t>
            </w:r>
          </w:p>
        </w:tc>
        <w:tc>
          <w:tcPr>
            <w:tcW w:type="dxa" w:w="1806"/>
          </w:tcPr>
          <w:p>
            <w:r>
              <w:rPr>
                <w:rFonts w:ascii="Arial" w:hAnsi="Arial"/>
                <w:sz w:val="18"/>
              </w:rPr>
              <w:t>CO₂, CH₄, N₂O</w:t>
            </w:r>
          </w:p>
        </w:tc>
      </w:tr>
      <w:tr>
        <w:tc>
          <w:tcPr>
            <w:tcW w:type="dxa" w:w="1806"/>
            <w:shd w:fill="F2F6FC" w:val="clear"/>
          </w:tcPr>
          <w:p>
            <w:r>
              <w:rPr>
                <w:rFonts w:ascii="Arial" w:hAnsi="Arial"/>
                <w:sz w:val="18"/>
              </w:rPr>
              <w:t>Scope 2 (Market-based)</w:t>
            </w:r>
          </w:p>
        </w:tc>
        <w:tc>
          <w:tcPr>
            <w:tcW w:type="dxa" w:w="1806"/>
            <w:shd w:fill="F2F6FC" w:val="clear"/>
          </w:tcPr>
          <w:p>
            <w:pPr>
              <w:jc w:val="right"/>
            </w:pPr>
            <w:r>
              <w:rPr>
                <w:rFonts w:ascii="Arial" w:hAnsi="Arial"/>
                <w:sz w:val="18"/>
              </w:rPr>
              <w:t>44,598.118</w:t>
            </w:r>
          </w:p>
        </w:tc>
        <w:tc>
          <w:tcPr>
            <w:tcW w:type="dxa" w:w="1806"/>
            <w:shd w:fill="F2F6FC" w:val="clear"/>
          </w:tcPr>
          <w:p>
            <w:pPr>
              <w:jc w:val="right"/>
            </w:pPr>
            <w:r>
              <w:rPr>
                <w:rFonts w:ascii="Arial" w:hAnsi="Arial"/>
                <w:sz w:val="18"/>
              </w:rPr>
              <w:t>0.19%</w:t>
            </w:r>
          </w:p>
        </w:tc>
        <w:tc>
          <w:tcPr>
            <w:tcW w:type="dxa" w:w="1806"/>
            <w:shd w:fill="F2F6FC" w:val="clear"/>
          </w:tcPr>
          <w:p>
            <w:pPr>
              <w:jc w:val="right"/>
            </w:pPr>
            <w:r>
              <w:rPr>
                <w:rFonts w:ascii="Arial" w:hAnsi="Arial"/>
                <w:sz w:val="18"/>
              </w:rPr>
              <w:t>93.06%</w:t>
            </w:r>
          </w:p>
        </w:tc>
        <w:tc>
          <w:tcPr>
            <w:tcW w:type="dxa" w:w="1806"/>
            <w:shd w:fill="F2F6FC" w:val="clear"/>
          </w:tcPr>
          <w:p>
            <w:r>
              <w:rPr>
                <w:rFonts w:ascii="Arial" w:hAnsi="Arial"/>
                <w:sz w:val="18"/>
              </w:rPr>
              <w:t>CO₂</w:t>
            </w:r>
          </w:p>
        </w:tc>
      </w:tr>
      <w:tr>
        <w:tc>
          <w:tcPr>
            <w:tcW w:type="dxa" w:w="1806"/>
          </w:tcPr>
          <w:p>
            <w:r>
              <w:rPr>
                <w:rFonts w:ascii="Arial" w:hAnsi="Arial"/>
                <w:sz w:val="18"/>
              </w:rPr>
              <w:t>Scope 3 Cat 15 (Gross)</w:t>
            </w:r>
          </w:p>
        </w:tc>
        <w:tc>
          <w:tcPr>
            <w:tcW w:type="dxa" w:w="1806"/>
          </w:tcPr>
          <w:p>
            <w:pPr>
              <w:jc w:val="right"/>
            </w:pPr>
            <w:r>
              <w:rPr>
                <w:rFonts w:ascii="Arial" w:hAnsi="Arial"/>
                <w:sz w:val="18"/>
              </w:rPr>
              <w:t>22,911,991.05</w:t>
            </w:r>
          </w:p>
        </w:tc>
        <w:tc>
          <w:tcPr>
            <w:tcW w:type="dxa" w:w="1806"/>
          </w:tcPr>
          <w:p>
            <w:pPr>
              <w:jc w:val="right"/>
            </w:pPr>
            <w:r>
              <w:rPr>
                <w:rFonts w:ascii="Arial" w:hAnsi="Arial"/>
                <w:sz w:val="18"/>
              </w:rPr>
              <w:t>99.79%</w:t>
            </w:r>
          </w:p>
        </w:tc>
        <w:tc>
          <w:tcPr>
            <w:tcW w:type="dxa" w:w="1806"/>
          </w:tcPr>
          <w:p>
            <w:r>
              <w:rPr>
                <w:rFonts w:ascii="Arial" w:hAnsi="Arial"/>
                <w:sz w:val="18"/>
              </w:rPr>
              <w:t>Not included</w:t>
            </w:r>
          </w:p>
        </w:tc>
        <w:tc>
          <w:tcPr>
            <w:tcW w:type="dxa" w:w="1806"/>
          </w:tcPr>
          <w:p>
            <w:r>
              <w:rPr>
                <w:rFonts w:ascii="Arial" w:hAnsi="Arial"/>
                <w:sz w:val="18"/>
              </w:rPr>
              <w:t>CO₂, CH₄, N₂O</w:t>
            </w:r>
          </w:p>
        </w:tc>
      </w:tr>
      <w:tr>
        <w:tc>
          <w:tcPr>
            <w:tcW w:type="dxa" w:w="1806"/>
            <w:shd w:fill="F2F6FC" w:val="clear"/>
          </w:tcPr>
          <w:p>
            <w:r>
              <w:rPr>
                <w:rFonts w:ascii="Arial" w:hAnsi="Arial"/>
                <w:sz w:val="18"/>
              </w:rPr>
              <w:t>Total (Revenue intensity)</w:t>
            </w:r>
          </w:p>
        </w:tc>
        <w:tc>
          <w:tcPr>
            <w:tcW w:type="dxa" w:w="1806"/>
            <w:shd w:fill="F2F6FC" w:val="clear"/>
          </w:tcPr>
          <w:p>
            <w:pPr>
              <w:jc w:val="right"/>
            </w:pPr>
            <w:r>
              <w:rPr>
                <w:rFonts w:ascii="Arial" w:hAnsi="Arial"/>
                <w:sz w:val="18"/>
              </w:rPr>
              <w:t>22,959,913.689</w:t>
            </w:r>
          </w:p>
        </w:tc>
        <w:tc>
          <w:tcPr>
            <w:tcW w:type="dxa" w:w="1806"/>
            <w:shd w:fill="F2F6FC" w:val="clear"/>
          </w:tcPr>
          <w:p>
            <w:pPr>
              <w:jc w:val="right"/>
            </w:pPr>
            <w:r>
              <w:rPr>
                <w:rFonts w:ascii="Arial" w:hAnsi="Arial"/>
                <w:sz w:val="18"/>
              </w:rPr>
              <w:t>100.00%</w:t>
            </w:r>
          </w:p>
        </w:tc>
        <w:tc>
          <w:tcPr>
            <w:tcW w:type="dxa" w:w="1806"/>
            <w:shd w:fill="F2F6FC" w:val="clear"/>
          </w:tcPr>
          <w:p>
            <w:r>
              <w:rPr>
                <w:rFonts w:ascii="Arial" w:hAnsi="Arial"/>
                <w:sz w:val="18"/>
              </w:rPr>
              <w:t>—</w:t>
            </w:r>
          </w:p>
        </w:tc>
        <w:tc>
          <w:tcPr>
            <w:tcW w:type="dxa" w:w="1806"/>
            <w:shd w:fill="F2F6FC" w:val="clear"/>
          </w:tcPr>
          <w:p>
            <w:r>
              <w:rPr>
                <w:rFonts w:ascii="Arial" w:hAnsi="Arial"/>
                <w:sz w:val="18"/>
              </w:rPr>
              <w:t>—</w:t>
            </w:r>
          </w:p>
        </w:tc>
      </w:tr>
      <w:tr>
        <w:tc>
          <w:tcPr>
            <w:tcW w:type="dxa" w:w="1806"/>
          </w:tcPr>
          <w:p>
            <w:r>
              <w:rPr>
                <w:rFonts w:ascii="Arial" w:hAnsi="Arial"/>
                <w:sz w:val="18"/>
              </w:rPr>
              <w:t>Total (FTE intensity)</w:t>
            </w:r>
          </w:p>
        </w:tc>
        <w:tc>
          <w:tcPr>
            <w:tcW w:type="dxa" w:w="1806"/>
          </w:tcPr>
          <w:p>
            <w:pPr>
              <w:jc w:val="right"/>
            </w:pPr>
            <w:r>
              <w:rPr>
                <w:rFonts w:ascii="Arial" w:hAnsi="Arial"/>
                <w:sz w:val="18"/>
              </w:rPr>
              <w:t>47,922.639</w:t>
            </w:r>
          </w:p>
        </w:tc>
        <w:tc>
          <w:tcPr>
            <w:tcW w:type="dxa" w:w="1806"/>
          </w:tcPr>
          <w:p>
            <w:r>
              <w:rPr>
                <w:rFonts w:ascii="Arial" w:hAnsi="Arial"/>
                <w:sz w:val="18"/>
              </w:rPr>
              <w:t>—</w:t>
            </w:r>
          </w:p>
        </w:tc>
        <w:tc>
          <w:tcPr>
            <w:tcW w:type="dxa" w:w="1806"/>
          </w:tcPr>
          <w:p>
            <w:pPr>
              <w:jc w:val="right"/>
            </w:pPr>
            <w:r>
              <w:rPr>
                <w:rFonts w:ascii="Arial" w:hAnsi="Arial"/>
                <w:sz w:val="18"/>
              </w:rPr>
              <w:t>100.00%</w:t>
            </w:r>
          </w:p>
        </w:tc>
        <w:tc>
          <w:tcPr>
            <w:tcW w:type="dxa" w:w="1806"/>
          </w:tcPr>
          <w:p>
            <w:r>
              <w:rPr>
                <w:rFonts w:ascii="Arial" w:hAnsi="Arial"/>
                <w:sz w:val="18"/>
              </w:rPr>
              <w:t>—</w:t>
            </w:r>
          </w:p>
        </w:tc>
      </w:tr>
    </w:tbl>
    <w:p>
      <w:r>
        <w:rPr>
          <w:rFonts w:ascii="Arial" w:hAnsi="Arial"/>
          <w:i/>
          <w:sz w:val="16"/>
        </w:rPr>
        <w:t>Source: Scope 3 Category 15 financed emissions calculated using PCAF methodology (gross attribution basis). Scope 2 market-based method applies contractual instruments where available; residual grid emission factor applied to remaining electricity consumption. All seven Kyoto Protocol gases included where material; CO₂ represents &gt;99% of total emissions by mass.</w:t>
      </w:r>
    </w:p>
    <w:p/>
    <w:p>
      <w:r>
        <w:rPr>
          <w:i/>
          <w:color w:val="3D6094"/>
          <w:sz w:val="18"/>
        </w:rPr>
        <w:t>Framework references: GRI 305-4; GRI 305-4-a (intensity ratio reported); GRI 305-4-b (organization-specific metric disclosed); GRI 305-4-c (types of GHG emissions included); GRI 305-4-d (gases included in calculation); GRI 2-7 (employees - denominator source)</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GRI Content Index: 305-4 | GHG emissions intensity | Section 4.4</w:t>
      </w:r>
    </w:p>
    <w:p>
      <w:pPr>
        <w:spacing w:after="160" w:line="276" w:lineRule="auto"/>
        <w:jc w:val="both"/>
      </w:pPr>
      <w:r>
        <w:rPr>
          <w:rFonts w:ascii="Arial" w:hAnsi="Arial"/>
          <w:i/>
          <w:color w:val="646464"/>
          <w:sz w:val="18"/>
        </w:rPr>
        <w:t>Intensity ratios calculated per GRI 305-4 requirements. Revenue-based intensity includes all material Scope 1, 2, and 3 emissions; FTE-based intensity limited to operational emissions (Scope 1 + 2) to reflect direct workforce impact.</w:t>
      </w:r>
    </w:p>
    <w:p>
      <w:pPr>
        <w:spacing w:after="160" w:line="276" w:lineRule="auto"/>
        <w:jc w:val="both"/>
      </w:pPr>
      <w:r>
        <w:rPr>
          <w:rFonts w:ascii="Arial" w:hAnsi="Arial"/>
          <w:i/>
          <w:color w:val="646464"/>
          <w:sz w:val="18"/>
        </w:rPr>
        <w:t>Scope 2 emissions calculated using market-based method per GRI 305-2. Location-based Scope 2 (44,599.44 tCO2e) differs by 1.322 tCO2e due to renewable energy certificate (REC) application in market-based calculation.</w:t>
      </w:r>
    </w:p>
    <w:p>
      <w:pPr>
        <w:spacing w:after="160" w:line="276" w:lineRule="auto"/>
        <w:jc w:val="both"/>
      </w:pPr>
      <w:r>
        <w:rPr>
          <w:rFonts w:ascii="Arial" w:hAnsi="Arial"/>
          <w:i/>
          <w:color w:val="646464"/>
          <w:sz w:val="18"/>
        </w:rPr>
        <w:t>Base year for intensity tracking: 2023. Future reports will disclose year-over-year percentage changes and cumulative progress against base year intensity levels.</w:t>
      </w:r>
    </w:p>
    <w:p>
      <w:r>
        <w:br w:type="page"/>
      </w:r>
    </w:p>
    <w:p>
      <w:pPr>
        <w:pStyle w:val="Heading1"/>
        <w:keepNext/>
        <w:spacing w:before="480" w:after="240"/>
      </w:pPr>
      <w:r>
        <w:rPr>
          <w:rFonts w:ascii="Arial" w:hAnsi="Arial"/>
          <w:b/>
          <w:color w:val="1B3A6B"/>
          <w:sz w:val="36"/>
        </w:rPr>
        <w:t>Social: Workforce &amp; Human Capital Disclosures</w:t>
      </w:r>
    </w:p>
    <w:p>
      <w:pPr>
        <w:spacing w:after="160" w:line="276" w:lineRule="auto"/>
        <w:jc w:val="both"/>
      </w:pPr>
      <w:r>
        <w:rPr>
          <w:rFonts w:ascii="Arial" w:hAnsi="Arial"/>
          <w:sz w:val="22"/>
        </w:rPr>
        <w:t>## Workforce Overview</w:t>
        <w:br/>
        <w:br/>
        <w:t>As of 31 December 2023, the organization employed 24500 full-time equivalent (FTE) employees, comprising 11319 female employees and 13181 male employees. Female employees represented 46.2% of the total workforce. The organization does not have prior year comparative data available for the 2023 reporting period, as this represents the first year of comprehensive workforce data collection under the enhanced ESG reporting framework. The workforce composition reflects the organization's operational footprint across Indonesia's banking and financial services sector, with employees distributed across branch networks, regional offices, and head office functions.</w:t>
      </w:r>
    </w:p>
    <w:p>
      <w:pPr>
        <w:spacing w:after="160" w:line="276" w:lineRule="auto"/>
        <w:jc w:val="both"/>
      </w:pPr>
      <w:r>
        <w:rPr>
          <w:rFonts w:ascii="Arial" w:hAnsi="Arial"/>
          <w:i/>
          <w:sz w:val="22"/>
        </w:rPr>
        <w:t>The organization applies operational control as the consolidation approach for workforce reporting, consistent with the methodology used for environmental disclosures. All employees under direct employment contracts are included in the headcount figures. Contract workers, temporary staff, and third-party service providers are excluded from these figures, in accordance with GRI 2-7 reporting requirements. The organization reports workforce data on a calendar year basis aligned with the financial reporting period.</w:t>
      </w:r>
    </w:p>
    <w:p>
      <w:pPr>
        <w:spacing w:after="160" w:line="276" w:lineRule="auto"/>
        <w:jc w:val="both"/>
      </w:pPr>
      <w:r>
        <w:rPr>
          <w:rFonts w:ascii="Arial" w:hAnsi="Arial"/>
          <w:sz w:val="22"/>
        </w:rPr>
        <w:t>## Employment Practices</w:t>
        <w:br/>
        <w:br/>
        <w:t>During the 2023 reporting period, the organization hired 3169 new employees, representing a hiring rate of 12.93% relative to the total workforce. The voluntary turnover rate for the period was 14.24%. These employment indicators reflect the organization's workforce planning activities in response to business expansion, digital transformation initiatives, and natural attrition patterns within the Indonesian banking sector. The organization does not have prior year comparative data for new hire counts or turnover rates, as systematic tracking of these metrics commenced in 2023.</w:t>
      </w:r>
    </w:p>
    <w:p>
      <w:pPr>
        <w:spacing w:after="160" w:line="276" w:lineRule="auto"/>
        <w:jc w:val="both"/>
      </w:pPr>
      <w:r>
        <w:rPr>
          <w:rFonts w:ascii="Arial" w:hAnsi="Arial"/>
          <w:sz w:val="22"/>
        </w:rPr>
        <w:t>The hiring rate of 12.93% indicates active workforce expansion during the reporting period, consistent with the organization's strategic growth objectives. The voluntary turnover rate of 14.24% represents employee-initiated departures including resignations and retirements, excluding involuntary terminations or organizational restructuring activities. The organization tracks turnover data to inform retention strategies and workforce planning processes.</w:t>
      </w:r>
    </w:p>
    <w:p>
      <w:pPr>
        <w:spacing w:after="160" w:line="276" w:lineRule="auto"/>
        <w:jc w:val="both"/>
      </w:pPr>
      <w:r>
        <w:rPr>
          <w:rFonts w:ascii="Arial" w:hAnsi="Arial"/>
          <w:sz w:val="22"/>
        </w:rPr>
        <w:t>## Training &amp; Education</w:t>
        <w:br/>
        <w:br/>
        <w:t>The organization invested 64.14 average training hours per FTE during the 2023 reporting period. This training investment encompasses mandatory compliance training, technical skills development, leadership programs, and professional certification support. The organization does not have prior year comparative data for training hours, as centralized tracking of training activities across all business units was implemented in 2023. Training delivery methods include classroom instruction, e-learning modules, on-the-job training, and external professional development programs.</w:t>
      </w:r>
    </w:p>
    <w:p>
      <w:pPr>
        <w:spacing w:after="160" w:line="276" w:lineRule="auto"/>
        <w:jc w:val="both"/>
      </w:pPr>
      <w:r>
        <w:rPr>
          <w:rFonts w:ascii="Arial" w:hAnsi="Arial"/>
          <w:i/>
          <w:sz w:val="22"/>
        </w:rPr>
        <w:t>The training hours metric includes all formal learning activities tracked through the organization's learning management system. Informal mentoring, job shadowing, and self-directed learning activities are not captured in this figure. The organization calculates average training hours by dividing total training hours delivered across all employees by the year-end FTE count of 24500.</w:t>
      </w:r>
    </w:p>
    <w:p>
      <w:pPr>
        <w:spacing w:after="160" w:line="276" w:lineRule="auto"/>
        <w:jc w:val="both"/>
      </w:pPr>
      <w:r>
        <w:rPr>
          <w:rFonts w:ascii="Arial" w:hAnsi="Arial"/>
          <w:sz w:val="22"/>
        </w:rPr>
        <w:t>## Diversity &amp; Equal Opportunity</w:t>
        <w:br/>
        <w:br/>
        <w:t>Female employees represented 46.2% of the organization's total workforce as of 31 December 2023. Women held 28.45% of management positions during the reporting period. The organization defines management positions as roles at the level of Assistant Vice President and above, encompassing middle management, senior management, and executive leadership positions. The organization does not have prior year comparative data for diversity metrics, as standardized gender disaggregation of workforce data by management level was implemented in 2023.</w:t>
      </w:r>
    </w:p>
    <w:p>
      <w:pPr>
        <w:spacing w:after="160" w:line="276" w:lineRule="auto"/>
        <w:jc w:val="both"/>
      </w:pPr>
      <w:r>
        <w:rPr>
          <w:rFonts w:ascii="Arial" w:hAnsi="Arial"/>
          <w:sz w:val="22"/>
        </w:rPr>
        <w:t>The organization's diversity metrics reflect workforce composition across all operational locations in Indonesia. The organization tracks gender diversity data to monitor progress toward equal opportunity objectives and to inform talent management strategies. The organization recognizes that women's representation in management positions at 28.45% indicates opportunity for advancement of female talent into leadership roles.</w:t>
      </w:r>
    </w:p>
    <w:p>
      <w:pPr>
        <w:spacing w:after="160" w:line="276" w:lineRule="auto"/>
        <w:jc w:val="both"/>
      </w:pPr>
      <w:r>
        <w:rPr>
          <w:rFonts w:ascii="Arial" w:hAnsi="Arial"/>
          <w:sz w:val="22"/>
        </w:rPr>
        <w:t>## Non-Discrimination</w:t>
        <w:br/>
        <w:br/>
        <w:t>The organization received 3 formal discrimination complaints during the 2023 reporting period. All reported cases were investigated through the organization's established grievance mechanism in accordance with internal policies and applicable Indonesian labor law. The organization does not have prior year comparative data for discrimination cases, as centralized tracking of discrimination complaints across all business units commenced in 2023. The organization maintains a zero-tolerance policy for discrimination based on gender, age, ethnicity, religion, disability status, or other protected characteristics.</w:t>
      </w:r>
    </w:p>
    <w:p>
      <w:pPr>
        <w:spacing w:after="160" w:line="276" w:lineRule="auto"/>
        <w:jc w:val="both"/>
      </w:pPr>
      <w:r>
        <w:rPr>
          <w:rFonts w:ascii="Arial" w:hAnsi="Arial"/>
          <w:sz w:val="22"/>
        </w:rPr>
        <w:t>Of the 3 discrimination cases reported, investigations were completed for all cases during the reporting period. Remediation actions included policy clarification, management counseling, and enhanced training on inclusive workplace practices. The organization provides multiple reporting channels for discrimination complaints, including direct supervisor escalation, human resources contact, and an anonymous whistleblower hotline. All employees receive annual training on the organization's Code of Conduct, which includes non-discrimination and equal opportunity provisions.</w:t>
      </w:r>
    </w:p>
    <w:p>
      <w:r>
        <w:rPr>
          <w:rFonts w:ascii="Arial" w:hAnsi="Arial"/>
          <w:b/>
          <w:sz w:val="20"/>
        </w:rPr>
        <w:t>Table S.1: Workforce Composition</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Metric</w:t>
            </w:r>
          </w:p>
        </w:tc>
        <w:tc>
          <w:tcPr>
            <w:tcW w:type="dxa" w:w="3010"/>
            <w:shd w:fill="1B3A6B" w:val="clear"/>
          </w:tcPr>
          <w:p>
            <w:r>
              <w:rPr>
                <w:rFonts w:ascii="Arial" w:hAnsi="Arial"/>
                <w:b/>
                <w:color w:val="FFFFFF"/>
                <w:sz w:val="18"/>
              </w:rPr>
              <w:t>2023</w:t>
            </w:r>
          </w:p>
        </w:tc>
        <w:tc>
          <w:tcPr>
            <w:tcW w:type="dxa" w:w="3010"/>
            <w:shd w:fill="1B3A6B" w:val="clear"/>
          </w:tcPr>
          <w:p>
            <w:r>
              <w:rPr>
                <w:rFonts w:ascii="Arial" w:hAnsi="Arial"/>
                <w:b/>
                <w:color w:val="FFFFFF"/>
                <w:sz w:val="18"/>
              </w:rPr>
              <w:t>Unit</w:t>
            </w:r>
          </w:p>
        </w:tc>
      </w:tr>
      <w:tr>
        <w:tc>
          <w:tcPr>
            <w:tcW w:type="dxa" w:w="3010"/>
          </w:tcPr>
          <w:p>
            <w:r>
              <w:rPr>
                <w:rFonts w:ascii="Arial" w:hAnsi="Arial"/>
                <w:sz w:val="18"/>
              </w:rPr>
              <w:t>Total FTE</w:t>
            </w:r>
          </w:p>
        </w:tc>
        <w:tc>
          <w:tcPr>
            <w:tcW w:type="dxa" w:w="3010"/>
          </w:tcPr>
          <w:p>
            <w:pPr>
              <w:jc w:val="right"/>
            </w:pPr>
            <w:r>
              <w:rPr>
                <w:rFonts w:ascii="Arial" w:hAnsi="Arial"/>
                <w:sz w:val="18"/>
              </w:rPr>
              <w:t>24500</w:t>
            </w:r>
          </w:p>
        </w:tc>
        <w:tc>
          <w:tcPr>
            <w:tcW w:type="dxa" w:w="3010"/>
          </w:tcPr>
          <w:p>
            <w:r>
              <w:rPr>
                <w:rFonts w:ascii="Arial" w:hAnsi="Arial"/>
                <w:sz w:val="18"/>
              </w:rPr>
              <w:t>employees</w:t>
            </w:r>
          </w:p>
        </w:tc>
      </w:tr>
      <w:tr>
        <w:tc>
          <w:tcPr>
            <w:tcW w:type="dxa" w:w="3010"/>
            <w:shd w:fill="F2F6FC" w:val="clear"/>
          </w:tcPr>
          <w:p>
            <w:r>
              <w:rPr>
                <w:rFonts w:ascii="Arial" w:hAnsi="Arial"/>
                <w:sz w:val="18"/>
              </w:rPr>
              <w:t>Female Employees</w:t>
            </w:r>
          </w:p>
        </w:tc>
        <w:tc>
          <w:tcPr>
            <w:tcW w:type="dxa" w:w="3010"/>
            <w:shd w:fill="F2F6FC" w:val="clear"/>
          </w:tcPr>
          <w:p>
            <w:pPr>
              <w:jc w:val="right"/>
            </w:pPr>
            <w:r>
              <w:rPr>
                <w:rFonts w:ascii="Arial" w:hAnsi="Arial"/>
                <w:sz w:val="18"/>
              </w:rPr>
              <w:t>11319</w:t>
            </w:r>
          </w:p>
        </w:tc>
        <w:tc>
          <w:tcPr>
            <w:tcW w:type="dxa" w:w="3010"/>
            <w:shd w:fill="F2F6FC" w:val="clear"/>
          </w:tcPr>
          <w:p>
            <w:r>
              <w:rPr>
                <w:rFonts w:ascii="Arial" w:hAnsi="Arial"/>
                <w:sz w:val="18"/>
              </w:rPr>
              <w:t>employees</w:t>
            </w:r>
          </w:p>
        </w:tc>
      </w:tr>
      <w:tr>
        <w:tc>
          <w:tcPr>
            <w:tcW w:type="dxa" w:w="3010"/>
          </w:tcPr>
          <w:p>
            <w:r>
              <w:rPr>
                <w:rFonts w:ascii="Arial" w:hAnsi="Arial"/>
                <w:sz w:val="18"/>
              </w:rPr>
              <w:t>Male Employees</w:t>
            </w:r>
          </w:p>
        </w:tc>
        <w:tc>
          <w:tcPr>
            <w:tcW w:type="dxa" w:w="3010"/>
          </w:tcPr>
          <w:p>
            <w:pPr>
              <w:jc w:val="right"/>
            </w:pPr>
            <w:r>
              <w:rPr>
                <w:rFonts w:ascii="Arial" w:hAnsi="Arial"/>
                <w:sz w:val="18"/>
              </w:rPr>
              <w:t>13181</w:t>
            </w:r>
          </w:p>
        </w:tc>
        <w:tc>
          <w:tcPr>
            <w:tcW w:type="dxa" w:w="3010"/>
          </w:tcPr>
          <w:p>
            <w:r>
              <w:rPr>
                <w:rFonts w:ascii="Arial" w:hAnsi="Arial"/>
                <w:sz w:val="18"/>
              </w:rPr>
              <w:t>employees</w:t>
            </w:r>
          </w:p>
        </w:tc>
      </w:tr>
      <w:tr>
        <w:tc>
          <w:tcPr>
            <w:tcW w:type="dxa" w:w="3010"/>
            <w:shd w:fill="F2F6FC" w:val="clear"/>
          </w:tcPr>
          <w:p>
            <w:r>
              <w:rPr>
                <w:rFonts w:ascii="Arial" w:hAnsi="Arial"/>
                <w:sz w:val="18"/>
              </w:rPr>
              <w:t>Female Percentage</w:t>
            </w:r>
          </w:p>
        </w:tc>
        <w:tc>
          <w:tcPr>
            <w:tcW w:type="dxa" w:w="3010"/>
            <w:shd w:fill="F2F6FC" w:val="clear"/>
          </w:tcPr>
          <w:p>
            <w:pPr>
              <w:jc w:val="right"/>
            </w:pPr>
            <w:r>
              <w:rPr>
                <w:rFonts w:ascii="Arial" w:hAnsi="Arial"/>
                <w:sz w:val="18"/>
              </w:rPr>
              <w:t>46.2</w:t>
            </w:r>
          </w:p>
        </w:tc>
        <w:tc>
          <w:tcPr>
            <w:tcW w:type="dxa" w:w="3010"/>
            <w:shd w:fill="F2F6FC" w:val="clear"/>
          </w:tcPr>
          <w:p>
            <w:r>
              <w:rPr>
                <w:rFonts w:ascii="Arial" w:hAnsi="Arial"/>
                <w:sz w:val="18"/>
              </w:rPr>
              <w:t>%</w:t>
            </w:r>
          </w:p>
        </w:tc>
      </w:tr>
    </w:tbl>
    <w:p>
      <w:r>
        <w:rPr>
          <w:rFonts w:ascii="Arial" w:hAnsi="Arial"/>
          <w:i/>
          <w:sz w:val="16"/>
        </w:rPr>
        <w:t>Source: Source: HR management system data as of 31 December 2023. Prior year comparative data not available.</w:t>
      </w:r>
    </w:p>
    <w:p/>
    <w:p>
      <w:r>
        <w:rPr>
          <w:rFonts w:ascii="Arial" w:hAnsi="Arial"/>
          <w:b/>
          <w:sz w:val="20"/>
        </w:rPr>
        <w:t>Table S.2: Employment Indicators</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Metric</w:t>
            </w:r>
          </w:p>
        </w:tc>
        <w:tc>
          <w:tcPr>
            <w:tcW w:type="dxa" w:w="3010"/>
            <w:shd w:fill="1B3A6B" w:val="clear"/>
          </w:tcPr>
          <w:p>
            <w:r>
              <w:rPr>
                <w:rFonts w:ascii="Arial" w:hAnsi="Arial"/>
                <w:b/>
                <w:color w:val="FFFFFF"/>
                <w:sz w:val="18"/>
              </w:rPr>
              <w:t>2023</w:t>
            </w:r>
          </w:p>
        </w:tc>
        <w:tc>
          <w:tcPr>
            <w:tcW w:type="dxa" w:w="3010"/>
            <w:shd w:fill="1B3A6B" w:val="clear"/>
          </w:tcPr>
          <w:p>
            <w:r>
              <w:rPr>
                <w:rFonts w:ascii="Arial" w:hAnsi="Arial"/>
                <w:b/>
                <w:color w:val="FFFFFF"/>
                <w:sz w:val="18"/>
              </w:rPr>
              <w:t>Unit</w:t>
            </w:r>
          </w:p>
        </w:tc>
      </w:tr>
      <w:tr>
        <w:tc>
          <w:tcPr>
            <w:tcW w:type="dxa" w:w="3010"/>
          </w:tcPr>
          <w:p>
            <w:r>
              <w:rPr>
                <w:rFonts w:ascii="Arial" w:hAnsi="Arial"/>
                <w:sz w:val="18"/>
              </w:rPr>
              <w:t>New Hires</w:t>
            </w:r>
          </w:p>
        </w:tc>
        <w:tc>
          <w:tcPr>
            <w:tcW w:type="dxa" w:w="3010"/>
          </w:tcPr>
          <w:p>
            <w:pPr>
              <w:jc w:val="right"/>
            </w:pPr>
            <w:r>
              <w:rPr>
                <w:rFonts w:ascii="Arial" w:hAnsi="Arial"/>
                <w:sz w:val="18"/>
              </w:rPr>
              <w:t>3169</w:t>
            </w:r>
          </w:p>
        </w:tc>
        <w:tc>
          <w:tcPr>
            <w:tcW w:type="dxa" w:w="3010"/>
          </w:tcPr>
          <w:p>
            <w:r>
              <w:rPr>
                <w:rFonts w:ascii="Arial" w:hAnsi="Arial"/>
                <w:sz w:val="18"/>
              </w:rPr>
              <w:t>employees</w:t>
            </w:r>
          </w:p>
        </w:tc>
      </w:tr>
      <w:tr>
        <w:tc>
          <w:tcPr>
            <w:tcW w:type="dxa" w:w="3010"/>
            <w:shd w:fill="F2F6FC" w:val="clear"/>
          </w:tcPr>
          <w:p>
            <w:r>
              <w:rPr>
                <w:rFonts w:ascii="Arial" w:hAnsi="Arial"/>
                <w:sz w:val="18"/>
              </w:rPr>
              <w:t>Hiring Rate</w:t>
            </w:r>
          </w:p>
        </w:tc>
        <w:tc>
          <w:tcPr>
            <w:tcW w:type="dxa" w:w="3010"/>
            <w:shd w:fill="F2F6FC" w:val="clear"/>
          </w:tcPr>
          <w:p>
            <w:pPr>
              <w:jc w:val="right"/>
            </w:pPr>
            <w:r>
              <w:rPr>
                <w:rFonts w:ascii="Arial" w:hAnsi="Arial"/>
                <w:sz w:val="18"/>
              </w:rPr>
              <w:t>12.93</w:t>
            </w:r>
          </w:p>
        </w:tc>
        <w:tc>
          <w:tcPr>
            <w:tcW w:type="dxa" w:w="3010"/>
            <w:shd w:fill="F2F6FC" w:val="clear"/>
          </w:tcPr>
          <w:p>
            <w:r>
              <w:rPr>
                <w:rFonts w:ascii="Arial" w:hAnsi="Arial"/>
                <w:sz w:val="18"/>
              </w:rPr>
              <w:t>%</w:t>
            </w:r>
          </w:p>
        </w:tc>
      </w:tr>
      <w:tr>
        <w:tc>
          <w:tcPr>
            <w:tcW w:type="dxa" w:w="3010"/>
          </w:tcPr>
          <w:p>
            <w:r>
              <w:rPr>
                <w:rFonts w:ascii="Arial" w:hAnsi="Arial"/>
                <w:sz w:val="18"/>
              </w:rPr>
              <w:t>Voluntary Turnover Rate</w:t>
            </w:r>
          </w:p>
        </w:tc>
        <w:tc>
          <w:tcPr>
            <w:tcW w:type="dxa" w:w="3010"/>
          </w:tcPr>
          <w:p>
            <w:pPr>
              <w:jc w:val="right"/>
            </w:pPr>
            <w:r>
              <w:rPr>
                <w:rFonts w:ascii="Arial" w:hAnsi="Arial"/>
                <w:sz w:val="18"/>
              </w:rPr>
              <w:t>14.24</w:t>
            </w:r>
          </w:p>
        </w:tc>
        <w:tc>
          <w:tcPr>
            <w:tcW w:type="dxa" w:w="3010"/>
          </w:tcPr>
          <w:p>
            <w:r>
              <w:rPr>
                <w:rFonts w:ascii="Arial" w:hAnsi="Arial"/>
                <w:sz w:val="18"/>
              </w:rPr>
              <w:t>%</w:t>
            </w:r>
          </w:p>
        </w:tc>
      </w:tr>
    </w:tbl>
    <w:p>
      <w:r>
        <w:rPr>
          <w:rFonts w:ascii="Arial" w:hAnsi="Arial"/>
          <w:i/>
          <w:sz w:val="16"/>
        </w:rPr>
        <w:t>Source: Source: HR management system data for calendar year 2023. Prior year comparative data not available.</w:t>
      </w:r>
    </w:p>
    <w:p/>
    <w:p>
      <w:r>
        <w:rPr>
          <w:rFonts w:ascii="Arial" w:hAnsi="Arial"/>
          <w:b/>
          <w:sz w:val="20"/>
        </w:rPr>
        <w:t>Table S.3: Training Metrics</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Metric</w:t>
            </w:r>
          </w:p>
        </w:tc>
        <w:tc>
          <w:tcPr>
            <w:tcW w:type="dxa" w:w="3010"/>
            <w:shd w:fill="1B3A6B" w:val="clear"/>
          </w:tcPr>
          <w:p>
            <w:r>
              <w:rPr>
                <w:rFonts w:ascii="Arial" w:hAnsi="Arial"/>
                <w:b/>
                <w:color w:val="FFFFFF"/>
                <w:sz w:val="18"/>
              </w:rPr>
              <w:t>2023</w:t>
            </w:r>
          </w:p>
        </w:tc>
        <w:tc>
          <w:tcPr>
            <w:tcW w:type="dxa" w:w="3010"/>
            <w:shd w:fill="1B3A6B" w:val="clear"/>
          </w:tcPr>
          <w:p>
            <w:r>
              <w:rPr>
                <w:rFonts w:ascii="Arial" w:hAnsi="Arial"/>
                <w:b/>
                <w:color w:val="FFFFFF"/>
                <w:sz w:val="18"/>
              </w:rPr>
              <w:t>Unit</w:t>
            </w:r>
          </w:p>
        </w:tc>
      </w:tr>
      <w:tr>
        <w:tc>
          <w:tcPr>
            <w:tcW w:type="dxa" w:w="3010"/>
          </w:tcPr>
          <w:p>
            <w:r>
              <w:rPr>
                <w:rFonts w:ascii="Arial" w:hAnsi="Arial"/>
                <w:sz w:val="18"/>
              </w:rPr>
              <w:t>Average Training Hours per FTE</w:t>
            </w:r>
          </w:p>
        </w:tc>
        <w:tc>
          <w:tcPr>
            <w:tcW w:type="dxa" w:w="3010"/>
          </w:tcPr>
          <w:p>
            <w:pPr>
              <w:jc w:val="right"/>
            </w:pPr>
            <w:r>
              <w:rPr>
                <w:rFonts w:ascii="Arial" w:hAnsi="Arial"/>
                <w:sz w:val="18"/>
              </w:rPr>
              <w:t>64.14</w:t>
            </w:r>
          </w:p>
        </w:tc>
        <w:tc>
          <w:tcPr>
            <w:tcW w:type="dxa" w:w="3010"/>
          </w:tcPr>
          <w:p>
            <w:r>
              <w:rPr>
                <w:rFonts w:ascii="Arial" w:hAnsi="Arial"/>
                <w:sz w:val="18"/>
              </w:rPr>
              <w:t>hours</w:t>
            </w:r>
          </w:p>
        </w:tc>
      </w:tr>
    </w:tbl>
    <w:p>
      <w:r>
        <w:rPr>
          <w:rFonts w:ascii="Arial" w:hAnsi="Arial"/>
          <w:i/>
          <w:sz w:val="16"/>
        </w:rPr>
        <w:t>Source: Source: Learning management system data for calendar year 2023. Prior year comparative data not available.</w:t>
      </w:r>
    </w:p>
    <w:p/>
    <w:p>
      <w:r>
        <w:rPr>
          <w:rFonts w:ascii="Arial" w:hAnsi="Arial"/>
          <w:b/>
          <w:sz w:val="20"/>
        </w:rPr>
        <w:t>Table S.4: Diversity Indicators</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Metric</w:t>
            </w:r>
          </w:p>
        </w:tc>
        <w:tc>
          <w:tcPr>
            <w:tcW w:type="dxa" w:w="3010"/>
            <w:shd w:fill="1B3A6B" w:val="clear"/>
          </w:tcPr>
          <w:p>
            <w:r>
              <w:rPr>
                <w:rFonts w:ascii="Arial" w:hAnsi="Arial"/>
                <w:b/>
                <w:color w:val="FFFFFF"/>
                <w:sz w:val="18"/>
              </w:rPr>
              <w:t>2023</w:t>
            </w:r>
          </w:p>
        </w:tc>
        <w:tc>
          <w:tcPr>
            <w:tcW w:type="dxa" w:w="3010"/>
            <w:shd w:fill="1B3A6B" w:val="clear"/>
          </w:tcPr>
          <w:p>
            <w:r>
              <w:rPr>
                <w:rFonts w:ascii="Arial" w:hAnsi="Arial"/>
                <w:b/>
                <w:color w:val="FFFFFF"/>
                <w:sz w:val="18"/>
              </w:rPr>
              <w:t>Unit</w:t>
            </w:r>
          </w:p>
        </w:tc>
      </w:tr>
      <w:tr>
        <w:tc>
          <w:tcPr>
            <w:tcW w:type="dxa" w:w="3010"/>
          </w:tcPr>
          <w:p>
            <w:r>
              <w:rPr>
                <w:rFonts w:ascii="Arial" w:hAnsi="Arial"/>
                <w:sz w:val="18"/>
              </w:rPr>
              <w:t>Female Workforce</w:t>
            </w:r>
          </w:p>
        </w:tc>
        <w:tc>
          <w:tcPr>
            <w:tcW w:type="dxa" w:w="3010"/>
          </w:tcPr>
          <w:p>
            <w:pPr>
              <w:jc w:val="right"/>
            </w:pPr>
            <w:r>
              <w:rPr>
                <w:rFonts w:ascii="Arial" w:hAnsi="Arial"/>
                <w:sz w:val="18"/>
              </w:rPr>
              <w:t>46.2</w:t>
            </w:r>
          </w:p>
        </w:tc>
        <w:tc>
          <w:tcPr>
            <w:tcW w:type="dxa" w:w="3010"/>
          </w:tcPr>
          <w:p>
            <w:r>
              <w:rPr>
                <w:rFonts w:ascii="Arial" w:hAnsi="Arial"/>
                <w:sz w:val="18"/>
              </w:rPr>
              <w:t>%</w:t>
            </w:r>
          </w:p>
        </w:tc>
      </w:tr>
      <w:tr>
        <w:tc>
          <w:tcPr>
            <w:tcW w:type="dxa" w:w="3010"/>
            <w:shd w:fill="F2F6FC" w:val="clear"/>
          </w:tcPr>
          <w:p>
            <w:r>
              <w:rPr>
                <w:rFonts w:ascii="Arial" w:hAnsi="Arial"/>
                <w:sz w:val="18"/>
              </w:rPr>
              <w:t>Women in Management</w:t>
            </w:r>
          </w:p>
        </w:tc>
        <w:tc>
          <w:tcPr>
            <w:tcW w:type="dxa" w:w="3010"/>
            <w:shd w:fill="F2F6FC" w:val="clear"/>
          </w:tcPr>
          <w:p>
            <w:pPr>
              <w:jc w:val="right"/>
            </w:pPr>
            <w:r>
              <w:rPr>
                <w:rFonts w:ascii="Arial" w:hAnsi="Arial"/>
                <w:sz w:val="18"/>
              </w:rPr>
              <w:t>28.45</w:t>
            </w:r>
          </w:p>
        </w:tc>
        <w:tc>
          <w:tcPr>
            <w:tcW w:type="dxa" w:w="3010"/>
            <w:shd w:fill="F2F6FC" w:val="clear"/>
          </w:tcPr>
          <w:p>
            <w:r>
              <w:rPr>
                <w:rFonts w:ascii="Arial" w:hAnsi="Arial"/>
                <w:sz w:val="18"/>
              </w:rPr>
              <w:t>%</w:t>
            </w:r>
          </w:p>
        </w:tc>
      </w:tr>
    </w:tbl>
    <w:p>
      <w:r>
        <w:rPr>
          <w:rFonts w:ascii="Arial" w:hAnsi="Arial"/>
          <w:i/>
          <w:sz w:val="16"/>
        </w:rPr>
        <w:t>Source: Source: HR management system data as of 31 December 2023. Management defined as Assistant Vice President level and above. Prior year comparative data not available.</w:t>
      </w:r>
    </w:p>
    <w:p/>
    <w:p>
      <w:r>
        <w:rPr>
          <w:rFonts w:ascii="Arial" w:hAnsi="Arial"/>
          <w:b/>
          <w:sz w:val="20"/>
        </w:rPr>
        <w:t>Table S.5: Non-Discrimination Cases</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Metric</w:t>
            </w:r>
          </w:p>
        </w:tc>
        <w:tc>
          <w:tcPr>
            <w:tcW w:type="dxa" w:w="3010"/>
            <w:shd w:fill="1B3A6B" w:val="clear"/>
          </w:tcPr>
          <w:p>
            <w:r>
              <w:rPr>
                <w:rFonts w:ascii="Arial" w:hAnsi="Arial"/>
                <w:b/>
                <w:color w:val="FFFFFF"/>
                <w:sz w:val="18"/>
              </w:rPr>
              <w:t>2023</w:t>
            </w:r>
          </w:p>
        </w:tc>
        <w:tc>
          <w:tcPr>
            <w:tcW w:type="dxa" w:w="3010"/>
            <w:shd w:fill="1B3A6B" w:val="clear"/>
          </w:tcPr>
          <w:p>
            <w:r>
              <w:rPr>
                <w:rFonts w:ascii="Arial" w:hAnsi="Arial"/>
                <w:b/>
                <w:color w:val="FFFFFF"/>
                <w:sz w:val="18"/>
              </w:rPr>
              <w:t>Unit</w:t>
            </w:r>
          </w:p>
        </w:tc>
      </w:tr>
      <w:tr>
        <w:tc>
          <w:tcPr>
            <w:tcW w:type="dxa" w:w="3010"/>
          </w:tcPr>
          <w:p>
            <w:r>
              <w:rPr>
                <w:rFonts w:ascii="Arial" w:hAnsi="Arial"/>
                <w:sz w:val="18"/>
              </w:rPr>
              <w:t>Discrimination Cases Reported</w:t>
            </w:r>
          </w:p>
        </w:tc>
        <w:tc>
          <w:tcPr>
            <w:tcW w:type="dxa" w:w="3010"/>
          </w:tcPr>
          <w:p>
            <w:pPr>
              <w:jc w:val="right"/>
            </w:pPr>
            <w:r>
              <w:rPr>
                <w:rFonts w:ascii="Arial" w:hAnsi="Arial"/>
                <w:sz w:val="18"/>
              </w:rPr>
              <w:t>3</w:t>
            </w:r>
          </w:p>
        </w:tc>
        <w:tc>
          <w:tcPr>
            <w:tcW w:type="dxa" w:w="3010"/>
          </w:tcPr>
          <w:p>
            <w:r>
              <w:rPr>
                <w:rFonts w:ascii="Arial" w:hAnsi="Arial"/>
                <w:sz w:val="18"/>
              </w:rPr>
              <w:t>cases</w:t>
            </w:r>
          </w:p>
        </w:tc>
      </w:tr>
      <w:tr>
        <w:tc>
          <w:tcPr>
            <w:tcW w:type="dxa" w:w="3010"/>
            <w:shd w:fill="F2F6FC" w:val="clear"/>
          </w:tcPr>
          <w:p>
            <w:r>
              <w:rPr>
                <w:rFonts w:ascii="Arial" w:hAnsi="Arial"/>
                <w:sz w:val="18"/>
              </w:rPr>
              <w:t>Cases Investigated</w:t>
            </w:r>
          </w:p>
        </w:tc>
        <w:tc>
          <w:tcPr>
            <w:tcW w:type="dxa" w:w="3010"/>
            <w:shd w:fill="F2F6FC" w:val="clear"/>
          </w:tcPr>
          <w:p>
            <w:pPr>
              <w:jc w:val="right"/>
            </w:pPr>
            <w:r>
              <w:rPr>
                <w:rFonts w:ascii="Arial" w:hAnsi="Arial"/>
                <w:sz w:val="18"/>
              </w:rPr>
              <w:t>3</w:t>
            </w:r>
          </w:p>
        </w:tc>
        <w:tc>
          <w:tcPr>
            <w:tcW w:type="dxa" w:w="3010"/>
            <w:shd w:fill="F2F6FC" w:val="clear"/>
          </w:tcPr>
          <w:p>
            <w:r>
              <w:rPr>
                <w:rFonts w:ascii="Arial" w:hAnsi="Arial"/>
                <w:sz w:val="18"/>
              </w:rPr>
              <w:t>cases</w:t>
            </w:r>
          </w:p>
        </w:tc>
      </w:tr>
      <w:tr>
        <w:tc>
          <w:tcPr>
            <w:tcW w:type="dxa" w:w="3010"/>
          </w:tcPr>
          <w:p>
            <w:r>
              <w:rPr>
                <w:rFonts w:ascii="Arial" w:hAnsi="Arial"/>
                <w:sz w:val="18"/>
              </w:rPr>
              <w:t>Cases Resolved</w:t>
            </w:r>
          </w:p>
        </w:tc>
        <w:tc>
          <w:tcPr>
            <w:tcW w:type="dxa" w:w="3010"/>
          </w:tcPr>
          <w:p>
            <w:pPr>
              <w:jc w:val="right"/>
            </w:pPr>
            <w:r>
              <w:rPr>
                <w:rFonts w:ascii="Arial" w:hAnsi="Arial"/>
                <w:sz w:val="18"/>
              </w:rPr>
              <w:t>3</w:t>
            </w:r>
          </w:p>
        </w:tc>
        <w:tc>
          <w:tcPr>
            <w:tcW w:type="dxa" w:w="3010"/>
          </w:tcPr>
          <w:p>
            <w:r>
              <w:rPr>
                <w:rFonts w:ascii="Arial" w:hAnsi="Arial"/>
                <w:sz w:val="18"/>
              </w:rPr>
              <w:t>cases</w:t>
            </w:r>
          </w:p>
        </w:tc>
      </w:tr>
    </w:tbl>
    <w:p>
      <w:r>
        <w:rPr>
          <w:rFonts w:ascii="Arial" w:hAnsi="Arial"/>
          <w:i/>
          <w:sz w:val="16"/>
        </w:rPr>
        <w:t>Source: Source: Ethics and compliance tracking system for calendar year 2023. Prior year comparative data not available.</w:t>
      </w:r>
    </w:p>
    <w:p/>
    <w:p>
      <w:r>
        <w:rPr>
          <w:i/>
          <w:color w:val="3D6094"/>
          <w:sz w:val="18"/>
        </w:rPr>
        <w:t>Framework references: GRI 2-7; GRI 401-1; GRI 404-1; GRI 405-1; GRI 406-1; ESRS S1 (Own Workforce); OJK PSPK Pillar II (Social)</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GRI Content Index: 2-7 | Employees | Section S.1</w:t>
      </w:r>
    </w:p>
    <w:p>
      <w:pPr>
        <w:spacing w:after="160" w:line="276" w:lineRule="auto"/>
        <w:jc w:val="both"/>
      </w:pPr>
      <w:r>
        <w:rPr>
          <w:rFonts w:ascii="Arial" w:hAnsi="Arial"/>
          <w:i/>
          <w:color w:val="646464"/>
          <w:sz w:val="18"/>
        </w:rPr>
        <w:t>GRI Content Index: 401-1 | New employee hires and employee turnover | Section S.2</w:t>
      </w:r>
    </w:p>
    <w:p>
      <w:pPr>
        <w:spacing w:after="160" w:line="276" w:lineRule="auto"/>
        <w:jc w:val="both"/>
      </w:pPr>
      <w:r>
        <w:rPr>
          <w:rFonts w:ascii="Arial" w:hAnsi="Arial"/>
          <w:i/>
          <w:color w:val="646464"/>
          <w:sz w:val="18"/>
        </w:rPr>
        <w:t>GRI Content Index: 404-1 | Average hours of training per year per employee | Section S.3</w:t>
      </w:r>
    </w:p>
    <w:p>
      <w:pPr>
        <w:spacing w:after="160" w:line="276" w:lineRule="auto"/>
        <w:jc w:val="both"/>
      </w:pPr>
      <w:r>
        <w:rPr>
          <w:rFonts w:ascii="Arial" w:hAnsi="Arial"/>
          <w:i/>
          <w:color w:val="646464"/>
          <w:sz w:val="18"/>
        </w:rPr>
        <w:t>GRI Content Index: 405-1 | Diversity of governance bodies and employees | Section S.4</w:t>
      </w:r>
    </w:p>
    <w:p>
      <w:pPr>
        <w:spacing w:after="160" w:line="276" w:lineRule="auto"/>
        <w:jc w:val="both"/>
      </w:pPr>
      <w:r>
        <w:rPr>
          <w:rFonts w:ascii="Arial" w:hAnsi="Arial"/>
          <w:i/>
          <w:color w:val="646464"/>
          <w:sz w:val="18"/>
        </w:rPr>
        <w:t>GRI Content Index: 406-1 | Incidents of discrimination and corrective actions taken | Section S.5</w:t>
      </w:r>
    </w:p>
    <w:p>
      <w:pPr>
        <w:spacing w:after="160" w:line="276" w:lineRule="auto"/>
        <w:jc w:val="both"/>
      </w:pPr>
      <w:r>
        <w:rPr>
          <w:rFonts w:ascii="Arial" w:hAnsi="Arial"/>
          <w:i/>
          <w:color w:val="646464"/>
          <w:sz w:val="18"/>
        </w:rPr>
        <w:t>Prior year comparative data is not available for the 2023 reporting period. The organization implemented enhanced ESG data collection systems during 2023, establishing baseline metrics for future year-over-year comparisons. Comparative data will be available in the 2024 reporting cycle.</w:t>
      </w:r>
    </w:p>
    <w:p>
      <w:pPr>
        <w:pStyle w:val="Heading1"/>
        <w:keepNext/>
        <w:spacing w:before="480" w:after="240"/>
      </w:pPr>
      <w:r>
        <w:rPr>
          <w:rFonts w:ascii="Arial" w:hAnsi="Arial"/>
          <w:b/>
          <w:color w:val="1B3A6B"/>
          <w:sz w:val="36"/>
        </w:rPr>
        <w:t>GRI 305-5: Reduction of GHG Emissions</w:t>
      </w:r>
    </w:p>
    <w:p>
      <w:pPr>
        <w:spacing w:after="160" w:line="276" w:lineRule="auto"/>
        <w:jc w:val="both"/>
      </w:pPr>
      <w:r>
        <w:rPr>
          <w:rFonts w:ascii="Arial" w:hAnsi="Arial"/>
          <w:sz w:val="22"/>
        </w:rPr>
        <w:t>This data point is not yet captured in the institution's reporting system. GRI 305-5 requires disclosure of GHG emissions reduced as a direct result of reduction initiatives, measured in metric tons of CO₂ equivalent, with clear attribution to specific programs rather than organic operational changes. The institution's current data infrastructure captures absolute emissions for Scope 1 (3,324.521 tCO₂e) and Scope 2 location-based (44,599.44 tCO₂e) for the 2023 reporting period, but does not yet track year-over-year changes or maintain a structured reduction initiative inventory.</w:t>
      </w:r>
    </w:p>
    <w:p>
      <w:pPr>
        <w:spacing w:after="160" w:line="276" w:lineRule="auto"/>
        <w:jc w:val="both"/>
      </w:pPr>
      <w:r>
        <w:rPr>
          <w:rFonts w:ascii="Arial" w:hAnsi="Arial"/>
          <w:sz w:val="22"/>
        </w:rPr>
        <w:t>The absence of prior-year comparative data (yoy_change_pct: null, vs_base_year_change_pct: null) prevents the organization from demonstrating compliance with GRI 305-5 requirements. A base year has not been formally established, and no reduction targets have been set. This represents a material gap in the organization's climate disclosure framework, particularly given the institution's operational emissions footprint of 47,923.961 tCO₂e (Scope 1+2 location-based) and financed emissions of 15,576,239.57 tCO₂e (Scope 3 Category 15 weighted).</w:t>
      </w:r>
    </w:p>
    <w:p>
      <w:pPr>
        <w:spacing w:after="160" w:line="276" w:lineRule="auto"/>
        <w:jc w:val="both"/>
      </w:pPr>
      <w:r>
        <w:rPr>
          <w:rFonts w:ascii="Arial" w:hAnsi="Arial"/>
          <w:sz w:val="22"/>
        </w:rPr>
        <w:t>**Peer Benchmark Analysis**: Leading Indonesian financial institutions have implemented comprehensive reduction programs with quantified results. DBS Group achieved a 12% year-over-year reduction in operational emissions (51,003 tCO₂e total Scope 1+2 in 2023), driven by 62% renewable energy procurement under RE100 commitment and an internal carbon price of $15/tCO₂. Bank Rakyat Indonesia (BRI) reduced energy intensity by 7.1% through its Green Network initiative, deploying 118 electric vehicles, 150 electric motorcycles, and solar panels across branches, achieving 19.49% electricity savings at BRILiaN Tower (GBCI Gold certified). Bank Central Asia (BCA) has established a climate change strategy with exclusion lists for high-carbon sectors and expanding green office programs, though specific reduction percentages are not publicly disclosed. Bank Mandiri reported a 5.1% operational emissions reduction with a net-zero target by 2060.</w:t>
      </w:r>
    </w:p>
    <w:p>
      <w:pPr>
        <w:spacing w:after="160" w:line="276" w:lineRule="auto"/>
        <w:jc w:val="both"/>
      </w:pPr>
      <w:r>
        <w:rPr>
          <w:rFonts w:ascii="Arial" w:hAnsi="Arial"/>
          <w:sz w:val="22"/>
        </w:rPr>
        <w:t>**Gap Analysis — Reduction Initiative Inventory**: The organization currently lacks documented reduction initiatives across all three scopes. For Scope 1 (3,324.521 tCO₂e from natural gas and diesel), no fuel-switching programs, fleet electrification, or generator efficiency upgrades are recorded. For Scope 2 (44,599.44 tCO₂e location-based), no renewable energy procurement, energy efficiency retrofits, or green building certifications are tracked. For Scope 3 Category 15 financed emissions (15,576,239.57 tCO₂e weighted), no sector-specific engagement programs or portfolio decarbonization targets are established. This contrasts with peer institutions where reduction initiatives are categorized into process redesign, equipment conversion, fuel switching, behavioral changes, and offset programs per GRI 305-5 guidance.</w:t>
      </w:r>
    </w:p>
    <w:p>
      <w:pPr>
        <w:spacing w:after="160" w:line="276" w:lineRule="auto"/>
        <w:jc w:val="both"/>
      </w:pPr>
      <w:r>
        <w:rPr>
          <w:rFonts w:ascii="Arial" w:hAnsi="Arial"/>
          <w:i/>
          <w:color w:val="555555"/>
          <w:sz w:val="22"/>
        </w:rPr>
        <w:t>**Recommended Reduction Program Framework**: The organization should establish a five-pillar reduction program modeled on peer best practices: (1) **Energy Efficiency**: LED retrofit across all 300+ facilities (estimated 15-20% electricity savings based on BRI's 19.49% achievement), automated HVAC shutdown systems (Kaseya-type platform), and green building certification for headquarters (target GBCI Gold or LEED Silver); (2) **Renewable Energy**: pilot solar installations at 10 high-consumption branches (target 5% renewable energy mix by 2025, scaling toward DBS's 62% benchmark), evaluate virtual power purchase agreements (VPPAs) for grid-supplied renewable energy; (3) **Fleet Electrification**: convert 20% of company vehicles to electric by 2026 (118 EVs as per BRI model), install charging infrastructure at 50 priority locations; (4) **Operational Behavior**: implement auto-shutdown policies for IT equipment (target 10% reduction in plug load), employee engagement campaigns (Earth Hour participation as per BCA); (5) **Financed Emissions Engagement**: establish sector-specific decarbonization dialogues with top 50 emitters in Energy - Oil &amp; Gas (6,655,496.15 tCO₂e) and Manufacturing - Cement (4,866,549.08 tCO₂e) portfolios, set portfolio-level intensity reduction targets aligned with SBTi Financial Sector guidance.</w:t>
      </w:r>
    </w:p>
    <w:p>
      <w:pPr>
        <w:spacing w:after="160" w:line="276" w:lineRule="auto"/>
        <w:jc w:val="both"/>
      </w:pPr>
      <w:r>
        <w:rPr>
          <w:rFonts w:ascii="Arial" w:hAnsi="Arial"/>
          <w:i/>
          <w:sz w:val="22"/>
        </w:rPr>
        <w:t>**Methodology Requirements for Future Disclosure**: To comply with GRI 305-5 in subsequent reporting periods, the organization must: (a) establish a base year (recommended: 2023 as first year of comprehensive GHG inventory), (b) implement reduction initiative tracking with unique identifiers and attribution methodology (inventory method comparing to base year per GRI guidance), (c) calculate reductions separately from organic changes due to acquisitions, divestments, or methodology updates, (d) disclose gases included (CO₂, CH₄, N₂O for Scope 1; CO₂ for Scope 2), (e) report reductions by scope (direct Scope 1, energy indirect Scope 2, other indirect Scope 3), and (f) exclude offsets from reduction figures unless separately labeled. The organization should reference ISO 14064-2:2019 for project-level quantification and verification.</w:t>
      </w:r>
    </w:p>
    <w:p>
      <w:r>
        <w:rPr>
          <w:rFonts w:ascii="Arial" w:hAnsi="Arial"/>
          <w:b/>
          <w:sz w:val="20"/>
        </w:rPr>
        <w:t>Table 1: Peer Benchmark — Operational Emissions Reduction Performance (2023)</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Institution</w:t>
            </w:r>
          </w:p>
        </w:tc>
        <w:tc>
          <w:tcPr>
            <w:tcW w:type="dxa" w:w="1505"/>
            <w:shd w:fill="1B3A6B" w:val="clear"/>
          </w:tcPr>
          <w:p>
            <w:r>
              <w:rPr>
                <w:rFonts w:ascii="Arial" w:hAnsi="Arial"/>
                <w:b/>
                <w:color w:val="FFFFFF"/>
                <w:sz w:val="18"/>
              </w:rPr>
              <w:t>Total Scope 1+2 (tCO₂e)</w:t>
            </w:r>
          </w:p>
        </w:tc>
        <w:tc>
          <w:tcPr>
            <w:tcW w:type="dxa" w:w="1505"/>
            <w:shd w:fill="1B3A6B" w:val="clear"/>
          </w:tcPr>
          <w:p>
            <w:r>
              <w:rPr>
                <w:rFonts w:ascii="Arial" w:hAnsi="Arial"/>
                <w:b/>
                <w:color w:val="FFFFFF"/>
                <w:sz w:val="18"/>
              </w:rPr>
              <w:t>YoY Change (%)</w:t>
            </w:r>
          </w:p>
        </w:tc>
        <w:tc>
          <w:tcPr>
            <w:tcW w:type="dxa" w:w="1505"/>
            <w:shd w:fill="1B3A6B" w:val="clear"/>
          </w:tcPr>
          <w:p>
            <w:r>
              <w:rPr>
                <w:rFonts w:ascii="Arial" w:hAnsi="Arial"/>
                <w:b/>
                <w:color w:val="FFFFFF"/>
                <w:sz w:val="18"/>
              </w:rPr>
              <w:t>Key Reduction Initiatives</w:t>
            </w:r>
          </w:p>
        </w:tc>
        <w:tc>
          <w:tcPr>
            <w:tcW w:type="dxa" w:w="1505"/>
            <w:shd w:fill="1B3A6B" w:val="clear"/>
          </w:tcPr>
          <w:p>
            <w:r>
              <w:rPr>
                <w:rFonts w:ascii="Arial" w:hAnsi="Arial"/>
                <w:b/>
                <w:color w:val="FFFFFF"/>
                <w:sz w:val="18"/>
              </w:rPr>
              <w:t>Renewable Energy (%)</w:t>
            </w:r>
          </w:p>
        </w:tc>
        <w:tc>
          <w:tcPr>
            <w:tcW w:type="dxa" w:w="1505"/>
            <w:shd w:fill="1B3A6B" w:val="clear"/>
          </w:tcPr>
          <w:p>
            <w:r>
              <w:rPr>
                <w:rFonts w:ascii="Arial" w:hAnsi="Arial"/>
                <w:b/>
                <w:color w:val="FFFFFF"/>
                <w:sz w:val="18"/>
              </w:rPr>
              <w:t>Target Year</w:t>
            </w:r>
          </w:p>
        </w:tc>
      </w:tr>
      <w:tr>
        <w:tc>
          <w:tcPr>
            <w:tcW w:type="dxa" w:w="1505"/>
          </w:tcPr>
          <w:p>
            <w:r>
              <w:rPr>
                <w:rFonts w:ascii="Arial" w:hAnsi="Arial"/>
                <w:sz w:val="18"/>
              </w:rPr>
              <w:t>DBS Group</w:t>
            </w:r>
          </w:p>
        </w:tc>
        <w:tc>
          <w:tcPr>
            <w:tcW w:type="dxa" w:w="1505"/>
          </w:tcPr>
          <w:p>
            <w:pPr>
              <w:jc w:val="right"/>
            </w:pPr>
            <w:r>
              <w:rPr>
                <w:rFonts w:ascii="Arial" w:hAnsi="Arial"/>
                <w:sz w:val="18"/>
              </w:rPr>
              <w:t>51,003</w:t>
            </w:r>
          </w:p>
        </w:tc>
        <w:tc>
          <w:tcPr>
            <w:tcW w:type="dxa" w:w="1505"/>
          </w:tcPr>
          <w:p>
            <w:r>
              <w:rPr>
                <w:rFonts w:ascii="Arial" w:hAnsi="Arial"/>
                <w:sz w:val="18"/>
              </w:rPr>
              <w:t>↓12.0%</w:t>
            </w:r>
          </w:p>
        </w:tc>
        <w:tc>
          <w:tcPr>
            <w:tcW w:type="dxa" w:w="1505"/>
          </w:tcPr>
          <w:p>
            <w:r>
              <w:rPr>
                <w:rFonts w:ascii="Arial" w:hAnsi="Arial"/>
                <w:sz w:val="18"/>
              </w:rPr>
              <w:t>RE100, internal carbon price $15/tCO₂, water recycling</w:t>
            </w:r>
          </w:p>
        </w:tc>
        <w:tc>
          <w:tcPr>
            <w:tcW w:type="dxa" w:w="1505"/>
          </w:tcPr>
          <w:p>
            <w:pPr>
              <w:jc w:val="right"/>
            </w:pPr>
            <w:r>
              <w:rPr>
                <w:rFonts w:ascii="Arial" w:hAnsi="Arial"/>
                <w:sz w:val="18"/>
              </w:rPr>
              <w:t>62%</w:t>
            </w:r>
          </w:p>
        </w:tc>
        <w:tc>
          <w:tcPr>
            <w:tcW w:type="dxa" w:w="1505"/>
          </w:tcPr>
          <w:p>
            <w:r>
              <w:rPr>
                <w:rFonts w:ascii="Arial" w:hAnsi="Arial"/>
                <w:sz w:val="18"/>
              </w:rPr>
              <w:t>2050 (Net Zero)</w:t>
            </w:r>
          </w:p>
        </w:tc>
      </w:tr>
      <w:tr>
        <w:tc>
          <w:tcPr>
            <w:tcW w:type="dxa" w:w="1505"/>
            <w:shd w:fill="F2F6FC" w:val="clear"/>
          </w:tcPr>
          <w:p>
            <w:r>
              <w:rPr>
                <w:rFonts w:ascii="Arial" w:hAnsi="Arial"/>
                <w:sz w:val="18"/>
              </w:rPr>
              <w:t>Bank Rakyat Indonesia</w:t>
            </w:r>
          </w:p>
        </w:tc>
        <w:tc>
          <w:tcPr>
            <w:tcW w:type="dxa" w:w="1505"/>
            <w:shd w:fill="F2F6FC" w:val="clear"/>
          </w:tcPr>
          <w:p>
            <w:pPr>
              <w:jc w:val="right"/>
            </w:pPr>
            <w:r>
              <w:rPr>
                <w:rFonts w:ascii="Arial" w:hAnsi="Arial"/>
                <w:sz w:val="18"/>
              </w:rPr>
              <w:t>97,500</w:t>
            </w:r>
          </w:p>
        </w:tc>
        <w:tc>
          <w:tcPr>
            <w:tcW w:type="dxa" w:w="1505"/>
            <w:shd w:fill="F2F6FC" w:val="clear"/>
          </w:tcPr>
          <w:p>
            <w:r>
              <w:rPr>
                <w:rFonts w:ascii="Arial" w:hAnsi="Arial"/>
                <w:sz w:val="18"/>
              </w:rPr>
              <w:t>↓3.2%</w:t>
            </w:r>
          </w:p>
        </w:tc>
        <w:tc>
          <w:tcPr>
            <w:tcW w:type="dxa" w:w="1505"/>
            <w:shd w:fill="F2F6FC" w:val="clear"/>
          </w:tcPr>
          <w:p>
            <w:r>
              <w:rPr>
                <w:rFonts w:ascii="Arial" w:hAnsi="Arial"/>
                <w:sz w:val="18"/>
              </w:rPr>
              <w:t>Green Network (118 EVs, 150 e-bikes), solar panels, LED, GBCI Gold building</w:t>
            </w:r>
          </w:p>
        </w:tc>
        <w:tc>
          <w:tcPr>
            <w:tcW w:type="dxa" w:w="1505"/>
            <w:shd w:fill="F2F6FC" w:val="clear"/>
          </w:tcPr>
          <w:p>
            <w:r>
              <w:rPr>
                <w:rFonts w:ascii="Arial" w:hAnsi="Arial"/>
                <w:sz w:val="18"/>
              </w:rPr>
              <w:t>&lt;1% (pilot)</w:t>
            </w:r>
          </w:p>
        </w:tc>
        <w:tc>
          <w:tcPr>
            <w:tcW w:type="dxa" w:w="1505"/>
            <w:shd w:fill="F2F6FC" w:val="clear"/>
          </w:tcPr>
          <w:p>
            <w:r>
              <w:rPr>
                <w:rFonts w:ascii="Arial" w:hAnsi="Arial"/>
                <w:sz w:val="18"/>
              </w:rPr>
              <w:t>2050 (SBTi)</w:t>
            </w:r>
          </w:p>
        </w:tc>
      </w:tr>
      <w:tr>
        <w:tc>
          <w:tcPr>
            <w:tcW w:type="dxa" w:w="1505"/>
          </w:tcPr>
          <w:p>
            <w:r>
              <w:rPr>
                <w:rFonts w:ascii="Arial" w:hAnsi="Arial"/>
                <w:sz w:val="18"/>
              </w:rPr>
              <w:t>Bank Mandiri</w:t>
            </w:r>
          </w:p>
        </w:tc>
        <w:tc>
          <w:tcPr>
            <w:tcW w:type="dxa" w:w="1505"/>
          </w:tcPr>
          <w:p>
            <w:pPr>
              <w:jc w:val="right"/>
            </w:pPr>
            <w:r>
              <w:rPr>
                <w:rFonts w:ascii="Arial" w:hAnsi="Arial"/>
                <w:sz w:val="18"/>
              </w:rPr>
              <w:t>70,200</w:t>
            </w:r>
          </w:p>
        </w:tc>
        <w:tc>
          <w:tcPr>
            <w:tcW w:type="dxa" w:w="1505"/>
          </w:tcPr>
          <w:p>
            <w:r>
              <w:rPr>
                <w:rFonts w:ascii="Arial" w:hAnsi="Arial"/>
                <w:sz w:val="18"/>
              </w:rPr>
              <w:t>↓5.1%</w:t>
            </w:r>
          </w:p>
        </w:tc>
        <w:tc>
          <w:tcPr>
            <w:tcW w:type="dxa" w:w="1505"/>
          </w:tcPr>
          <w:p>
            <w:r>
              <w:rPr>
                <w:rFonts w:ascii="Arial" w:hAnsi="Arial"/>
                <w:sz w:val="18"/>
              </w:rPr>
              <w:t>Monitoring systems, green office pilot</w:t>
            </w:r>
          </w:p>
        </w:tc>
        <w:tc>
          <w:tcPr>
            <w:tcW w:type="dxa" w:w="1505"/>
          </w:tcPr>
          <w:p>
            <w:r>
              <w:rPr>
                <w:rFonts w:ascii="Arial" w:hAnsi="Arial"/>
                <w:sz w:val="18"/>
              </w:rPr>
              <w:t>&lt;1%</w:t>
            </w:r>
          </w:p>
        </w:tc>
        <w:tc>
          <w:tcPr>
            <w:tcW w:type="dxa" w:w="1505"/>
          </w:tcPr>
          <w:p>
            <w:pPr>
              <w:jc w:val="right"/>
            </w:pPr>
            <w:r>
              <w:rPr>
                <w:rFonts w:ascii="Arial" w:hAnsi="Arial"/>
                <w:sz w:val="18"/>
              </w:rPr>
              <w:t>2060</w:t>
            </w:r>
          </w:p>
        </w:tc>
      </w:tr>
      <w:tr>
        <w:tc>
          <w:tcPr>
            <w:tcW w:type="dxa" w:w="1505"/>
            <w:shd w:fill="F2F6FC" w:val="clear"/>
          </w:tcPr>
          <w:p>
            <w:r>
              <w:rPr>
                <w:rFonts w:ascii="Arial" w:hAnsi="Arial"/>
                <w:sz w:val="18"/>
              </w:rPr>
              <w:t>Bank Central Asia</w:t>
            </w:r>
          </w:p>
        </w:tc>
        <w:tc>
          <w:tcPr>
            <w:tcW w:type="dxa" w:w="1505"/>
            <w:shd w:fill="F2F6FC" w:val="clear"/>
          </w:tcPr>
          <w:p>
            <w:pPr>
              <w:jc w:val="right"/>
            </w:pPr>
            <w:r>
              <w:rPr>
                <w:rFonts w:ascii="Arial" w:hAnsi="Arial"/>
                <w:sz w:val="18"/>
              </w:rPr>
              <w:t>59,800</w:t>
            </w:r>
          </w:p>
        </w:tc>
        <w:tc>
          <w:tcPr>
            <w:tcW w:type="dxa" w:w="1505"/>
            <w:shd w:fill="F2F6FC" w:val="clear"/>
          </w:tcPr>
          <w:p>
            <w:r>
              <w:rPr>
                <w:rFonts w:ascii="Arial" w:hAnsi="Arial"/>
                <w:sz w:val="18"/>
              </w:rPr>
              <w:t>—</w:t>
            </w:r>
          </w:p>
        </w:tc>
        <w:tc>
          <w:tcPr>
            <w:tcW w:type="dxa" w:w="1505"/>
            <w:shd w:fill="F2F6FC" w:val="clear"/>
          </w:tcPr>
          <w:p>
            <w:r>
              <w:rPr>
                <w:rFonts w:ascii="Arial" w:hAnsi="Arial"/>
                <w:sz w:val="18"/>
              </w:rPr>
              <w:t>Earth Hour, green office expansion, climate strategy</w:t>
            </w:r>
          </w:p>
        </w:tc>
        <w:tc>
          <w:tcPr>
            <w:tcW w:type="dxa" w:w="1505"/>
            <w:shd w:fill="F2F6FC" w:val="clear"/>
          </w:tcPr>
          <w:p>
            <w:r>
              <w:rPr>
                <w:rFonts w:ascii="Arial" w:hAnsi="Arial"/>
                <w:sz w:val="18"/>
              </w:rPr>
              <w:t>&lt;1%</w:t>
            </w:r>
          </w:p>
        </w:tc>
        <w:tc>
          <w:tcPr>
            <w:tcW w:type="dxa" w:w="1505"/>
            <w:shd w:fill="F2F6FC" w:val="clear"/>
          </w:tcPr>
          <w:p>
            <w:r>
              <w:rPr>
                <w:rFonts w:ascii="Arial" w:hAnsi="Arial"/>
                <w:sz w:val="18"/>
              </w:rPr>
              <w:t>NZE aligned</w:t>
            </w:r>
          </w:p>
        </w:tc>
      </w:tr>
      <w:tr>
        <w:tc>
          <w:tcPr>
            <w:tcW w:type="dxa" w:w="1505"/>
          </w:tcPr>
          <w:p>
            <w:r>
              <w:rPr>
                <w:rFonts w:ascii="Arial" w:hAnsi="Arial"/>
                <w:sz w:val="18"/>
              </w:rPr>
              <w:t>Generic Financial Institution</w:t>
            </w:r>
          </w:p>
        </w:tc>
        <w:tc>
          <w:tcPr>
            <w:tcW w:type="dxa" w:w="1505"/>
          </w:tcPr>
          <w:p>
            <w:pPr>
              <w:jc w:val="right"/>
            </w:pPr>
            <w:r>
              <w:rPr>
                <w:rFonts w:ascii="Arial" w:hAnsi="Arial"/>
                <w:sz w:val="18"/>
              </w:rPr>
              <w:t>47,923.961</w:t>
            </w:r>
          </w:p>
        </w:tc>
        <w:tc>
          <w:tcPr>
            <w:tcW w:type="dxa" w:w="1505"/>
          </w:tcPr>
          <w:p>
            <w:r>
              <w:rPr>
                <w:rFonts w:ascii="Arial" w:hAnsi="Arial"/>
                <w:sz w:val="18"/>
              </w:rPr>
              <w:t>No data</w:t>
            </w:r>
          </w:p>
        </w:tc>
        <w:tc>
          <w:tcPr>
            <w:tcW w:type="dxa" w:w="1505"/>
          </w:tcPr>
          <w:p>
            <w:r>
              <w:rPr>
                <w:rFonts w:ascii="Arial" w:hAnsi="Arial"/>
                <w:sz w:val="18"/>
              </w:rPr>
              <w:t>None documented</w:t>
            </w:r>
          </w:p>
        </w:tc>
        <w:tc>
          <w:tcPr>
            <w:tcW w:type="dxa" w:w="1505"/>
          </w:tcPr>
          <w:p>
            <w:pPr>
              <w:jc w:val="right"/>
            </w:pPr>
            <w:r>
              <w:rPr>
                <w:rFonts w:ascii="Arial" w:hAnsi="Arial"/>
                <w:sz w:val="18"/>
              </w:rPr>
              <w:t>0%</w:t>
            </w:r>
          </w:p>
        </w:tc>
        <w:tc>
          <w:tcPr>
            <w:tcW w:type="dxa" w:w="1505"/>
          </w:tcPr>
          <w:p>
            <w:r>
              <w:rPr>
                <w:rFonts w:ascii="Arial" w:hAnsi="Arial"/>
                <w:sz w:val="18"/>
              </w:rPr>
              <w:t>Not established</w:t>
            </w:r>
          </w:p>
        </w:tc>
      </w:tr>
    </w:tbl>
    <w:p>
      <w:r>
        <w:rPr>
          <w:rFonts w:ascii="Arial" w:hAnsi="Arial"/>
          <w:i/>
          <w:sz w:val="16"/>
        </w:rPr>
        <w:t>Source: Source: BRI Sustainability Report 2023, DBS Sustainability Report 2023, Bank Mandiri Sustainability Report 2023, BCA Sustainability Report 2024. Generic FI data from DATA INPUT ghg_summary.</w:t>
      </w:r>
    </w:p>
    <w:p/>
    <w:p>
      <w:r>
        <w:rPr>
          <w:rFonts w:ascii="Arial" w:hAnsi="Arial"/>
          <w:b/>
          <w:sz w:val="20"/>
        </w:rPr>
        <w:t>Table 2: Recommended Reduction Initiative Roadmap (2024-2026)</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Initiative Category</w:t>
            </w:r>
          </w:p>
        </w:tc>
        <w:tc>
          <w:tcPr>
            <w:tcW w:type="dxa" w:w="1806"/>
            <w:shd w:fill="1B3A6B" w:val="clear"/>
          </w:tcPr>
          <w:p>
            <w:r>
              <w:rPr>
                <w:rFonts w:ascii="Arial" w:hAnsi="Arial"/>
                <w:b/>
                <w:color w:val="FFFFFF"/>
                <w:sz w:val="18"/>
              </w:rPr>
              <w:t>Specific Actions</w:t>
            </w:r>
          </w:p>
        </w:tc>
        <w:tc>
          <w:tcPr>
            <w:tcW w:type="dxa" w:w="1806"/>
            <w:shd w:fill="1B3A6B" w:val="clear"/>
          </w:tcPr>
          <w:p>
            <w:r>
              <w:rPr>
                <w:rFonts w:ascii="Arial" w:hAnsi="Arial"/>
                <w:b/>
                <w:color w:val="FFFFFF"/>
                <w:sz w:val="18"/>
              </w:rPr>
              <w:t>Target Reduction (tCO₂e/year)</w:t>
            </w:r>
          </w:p>
        </w:tc>
        <w:tc>
          <w:tcPr>
            <w:tcW w:type="dxa" w:w="1806"/>
            <w:shd w:fill="1B3A6B" w:val="clear"/>
          </w:tcPr>
          <w:p>
            <w:r>
              <w:rPr>
                <w:rFonts w:ascii="Arial" w:hAnsi="Arial"/>
                <w:b/>
                <w:color w:val="FFFFFF"/>
                <w:sz w:val="18"/>
              </w:rPr>
              <w:t>Implementation Timeline</w:t>
            </w:r>
          </w:p>
        </w:tc>
        <w:tc>
          <w:tcPr>
            <w:tcW w:type="dxa" w:w="1806"/>
            <w:shd w:fill="1B3A6B" w:val="clear"/>
          </w:tcPr>
          <w:p>
            <w:r>
              <w:rPr>
                <w:rFonts w:ascii="Arial" w:hAnsi="Arial"/>
                <w:b/>
                <w:color w:val="FFFFFF"/>
                <w:sz w:val="18"/>
              </w:rPr>
              <w:t>Peer Reference</w:t>
            </w:r>
          </w:p>
        </w:tc>
      </w:tr>
      <w:tr>
        <w:tc>
          <w:tcPr>
            <w:tcW w:type="dxa" w:w="1806"/>
          </w:tcPr>
          <w:p>
            <w:r>
              <w:rPr>
                <w:rFonts w:ascii="Arial" w:hAnsi="Arial"/>
                <w:sz w:val="18"/>
              </w:rPr>
              <w:t>Energy Efficiency</w:t>
            </w:r>
          </w:p>
        </w:tc>
        <w:tc>
          <w:tcPr>
            <w:tcW w:type="dxa" w:w="1806"/>
          </w:tcPr>
          <w:p>
            <w:r>
              <w:rPr>
                <w:rFonts w:ascii="Arial" w:hAnsi="Arial"/>
                <w:sz w:val="18"/>
              </w:rPr>
              <w:t>LED retrofit (all facilities), HVAC auto-shutdown, green building cert</w:t>
            </w:r>
          </w:p>
        </w:tc>
        <w:tc>
          <w:tcPr>
            <w:tcW w:type="dxa" w:w="1806"/>
          </w:tcPr>
          <w:p>
            <w:r>
              <w:rPr>
                <w:rFonts w:ascii="Arial" w:hAnsi="Arial"/>
                <w:sz w:val="18"/>
              </w:rPr>
              <w:t>6,690 (15% of Scope 2)</w:t>
            </w:r>
          </w:p>
        </w:tc>
        <w:tc>
          <w:tcPr>
            <w:tcW w:type="dxa" w:w="1806"/>
          </w:tcPr>
          <w:p>
            <w:r>
              <w:rPr>
                <w:rFonts w:ascii="Arial" w:hAnsi="Arial"/>
                <w:sz w:val="18"/>
              </w:rPr>
              <w:t>Q2 2024 - Q4 2025</w:t>
            </w:r>
          </w:p>
        </w:tc>
        <w:tc>
          <w:tcPr>
            <w:tcW w:type="dxa" w:w="1806"/>
          </w:tcPr>
          <w:p>
            <w:r>
              <w:rPr>
                <w:rFonts w:ascii="Arial" w:hAnsi="Arial"/>
                <w:sz w:val="18"/>
              </w:rPr>
              <w:t>BRI: 19.49% savings at BRILiaN Tower</w:t>
            </w:r>
          </w:p>
        </w:tc>
      </w:tr>
      <w:tr>
        <w:tc>
          <w:tcPr>
            <w:tcW w:type="dxa" w:w="1806"/>
            <w:shd w:fill="F2F6FC" w:val="clear"/>
          </w:tcPr>
          <w:p>
            <w:r>
              <w:rPr>
                <w:rFonts w:ascii="Arial" w:hAnsi="Arial"/>
                <w:sz w:val="18"/>
              </w:rPr>
              <w:t>Renewable Energy</w:t>
            </w:r>
          </w:p>
        </w:tc>
        <w:tc>
          <w:tcPr>
            <w:tcW w:type="dxa" w:w="1806"/>
            <w:shd w:fill="F2F6FC" w:val="clear"/>
          </w:tcPr>
          <w:p>
            <w:r>
              <w:rPr>
                <w:rFonts w:ascii="Arial" w:hAnsi="Arial"/>
                <w:sz w:val="18"/>
              </w:rPr>
              <w:t>Solar pilot (10 branches), VPPA evaluation</w:t>
            </w:r>
          </w:p>
        </w:tc>
        <w:tc>
          <w:tcPr>
            <w:tcW w:type="dxa" w:w="1806"/>
            <w:shd w:fill="F2F6FC" w:val="clear"/>
          </w:tcPr>
          <w:p>
            <w:r>
              <w:rPr>
                <w:rFonts w:ascii="Arial" w:hAnsi="Arial"/>
                <w:sz w:val="18"/>
              </w:rPr>
              <w:t>2,230 (5% of Scope 2)</w:t>
            </w:r>
          </w:p>
        </w:tc>
        <w:tc>
          <w:tcPr>
            <w:tcW w:type="dxa" w:w="1806"/>
            <w:shd w:fill="F2F6FC" w:val="clear"/>
          </w:tcPr>
          <w:p>
            <w:r>
              <w:rPr>
                <w:rFonts w:ascii="Arial" w:hAnsi="Arial"/>
                <w:sz w:val="18"/>
              </w:rPr>
              <w:t>Q3 2024 - Q2 2026</w:t>
            </w:r>
          </w:p>
        </w:tc>
        <w:tc>
          <w:tcPr>
            <w:tcW w:type="dxa" w:w="1806"/>
            <w:shd w:fill="F2F6FC" w:val="clear"/>
          </w:tcPr>
          <w:p>
            <w:r>
              <w:rPr>
                <w:rFonts w:ascii="Arial" w:hAnsi="Arial"/>
                <w:sz w:val="18"/>
              </w:rPr>
              <w:t>DBS: 62% renewable energy mix</w:t>
            </w:r>
          </w:p>
        </w:tc>
      </w:tr>
      <w:tr>
        <w:tc>
          <w:tcPr>
            <w:tcW w:type="dxa" w:w="1806"/>
          </w:tcPr>
          <w:p>
            <w:r>
              <w:rPr>
                <w:rFonts w:ascii="Arial" w:hAnsi="Arial"/>
                <w:sz w:val="18"/>
              </w:rPr>
              <w:t>Fleet Electrification</w:t>
            </w:r>
          </w:p>
        </w:tc>
        <w:tc>
          <w:tcPr>
            <w:tcW w:type="dxa" w:w="1806"/>
          </w:tcPr>
          <w:p>
            <w:r>
              <w:rPr>
                <w:rFonts w:ascii="Arial" w:hAnsi="Arial"/>
                <w:sz w:val="18"/>
              </w:rPr>
              <w:t>Convert 20% vehicles to EV, install 50 charging stations</w:t>
            </w:r>
          </w:p>
        </w:tc>
        <w:tc>
          <w:tcPr>
            <w:tcW w:type="dxa" w:w="1806"/>
          </w:tcPr>
          <w:p>
            <w:r>
              <w:rPr>
                <w:rFonts w:ascii="Arial" w:hAnsi="Arial"/>
                <w:sz w:val="18"/>
              </w:rPr>
              <w:t>425 (20% of Scope 1 diesel)</w:t>
            </w:r>
          </w:p>
        </w:tc>
        <w:tc>
          <w:tcPr>
            <w:tcW w:type="dxa" w:w="1806"/>
          </w:tcPr>
          <w:p>
            <w:r>
              <w:rPr>
                <w:rFonts w:ascii="Arial" w:hAnsi="Arial"/>
                <w:sz w:val="18"/>
              </w:rPr>
              <w:t>Q1 2025 - Q4 2026</w:t>
            </w:r>
          </w:p>
        </w:tc>
        <w:tc>
          <w:tcPr>
            <w:tcW w:type="dxa" w:w="1806"/>
          </w:tcPr>
          <w:p>
            <w:r>
              <w:rPr>
                <w:rFonts w:ascii="Arial" w:hAnsi="Arial"/>
                <w:sz w:val="18"/>
              </w:rPr>
              <w:t>BRI: 118 EVs + 150 e-bikes</w:t>
            </w:r>
          </w:p>
        </w:tc>
      </w:tr>
      <w:tr>
        <w:tc>
          <w:tcPr>
            <w:tcW w:type="dxa" w:w="1806"/>
            <w:shd w:fill="F2F6FC" w:val="clear"/>
          </w:tcPr>
          <w:p>
            <w:r>
              <w:rPr>
                <w:rFonts w:ascii="Arial" w:hAnsi="Arial"/>
                <w:sz w:val="18"/>
              </w:rPr>
              <w:t>Operational Behavior</w:t>
            </w:r>
          </w:p>
        </w:tc>
        <w:tc>
          <w:tcPr>
            <w:tcW w:type="dxa" w:w="1806"/>
            <w:shd w:fill="F2F6FC" w:val="clear"/>
          </w:tcPr>
          <w:p>
            <w:r>
              <w:rPr>
                <w:rFonts w:ascii="Arial" w:hAnsi="Arial"/>
                <w:sz w:val="18"/>
              </w:rPr>
              <w:t>Auto-shutdown IT equipment, employee engagement</w:t>
            </w:r>
          </w:p>
        </w:tc>
        <w:tc>
          <w:tcPr>
            <w:tcW w:type="dxa" w:w="1806"/>
            <w:shd w:fill="F2F6FC" w:val="clear"/>
          </w:tcPr>
          <w:p>
            <w:r>
              <w:rPr>
                <w:rFonts w:ascii="Arial" w:hAnsi="Arial"/>
                <w:sz w:val="18"/>
              </w:rPr>
              <w:t>4,460 (10% of Scope 2)</w:t>
            </w:r>
          </w:p>
        </w:tc>
        <w:tc>
          <w:tcPr>
            <w:tcW w:type="dxa" w:w="1806"/>
            <w:shd w:fill="F2F6FC" w:val="clear"/>
          </w:tcPr>
          <w:p>
            <w:r>
              <w:rPr>
                <w:rFonts w:ascii="Arial" w:hAnsi="Arial"/>
                <w:sz w:val="18"/>
              </w:rPr>
              <w:t>Q1 2024 - ongoing</w:t>
            </w:r>
          </w:p>
        </w:tc>
        <w:tc>
          <w:tcPr>
            <w:tcW w:type="dxa" w:w="1806"/>
            <w:shd w:fill="F2F6FC" w:val="clear"/>
          </w:tcPr>
          <w:p>
            <w:r>
              <w:rPr>
                <w:rFonts w:ascii="Arial" w:hAnsi="Arial"/>
                <w:sz w:val="18"/>
              </w:rPr>
              <w:t>BCA: Earth Hour participation</w:t>
            </w:r>
          </w:p>
        </w:tc>
      </w:tr>
      <w:tr>
        <w:tc>
          <w:tcPr>
            <w:tcW w:type="dxa" w:w="1806"/>
          </w:tcPr>
          <w:p>
            <w:r>
              <w:rPr>
                <w:rFonts w:ascii="Arial" w:hAnsi="Arial"/>
                <w:sz w:val="18"/>
              </w:rPr>
              <w:t>Financed Emissions</w:t>
            </w:r>
          </w:p>
        </w:tc>
        <w:tc>
          <w:tcPr>
            <w:tcW w:type="dxa" w:w="1806"/>
          </w:tcPr>
          <w:p>
            <w:r>
              <w:rPr>
                <w:rFonts w:ascii="Arial" w:hAnsi="Arial"/>
                <w:sz w:val="18"/>
              </w:rPr>
              <w:t>Sector engagement (Oil &amp; Gas, Cement), portfolio intensity targets</w:t>
            </w:r>
          </w:p>
        </w:tc>
        <w:tc>
          <w:tcPr>
            <w:tcW w:type="dxa" w:w="1806"/>
          </w:tcPr>
          <w:p>
            <w:r>
              <w:rPr>
                <w:rFonts w:ascii="Arial" w:hAnsi="Arial"/>
                <w:sz w:val="18"/>
              </w:rPr>
              <w:t>778,812 (5% of Scope 3 Cat 15)</w:t>
            </w:r>
          </w:p>
        </w:tc>
        <w:tc>
          <w:tcPr>
            <w:tcW w:type="dxa" w:w="1806"/>
          </w:tcPr>
          <w:p>
            <w:r>
              <w:rPr>
                <w:rFonts w:ascii="Arial" w:hAnsi="Arial"/>
                <w:sz w:val="18"/>
              </w:rPr>
              <w:t>Q2 2024 - Q4 2025</w:t>
            </w:r>
          </w:p>
        </w:tc>
        <w:tc>
          <w:tcPr>
            <w:tcW w:type="dxa" w:w="1806"/>
          </w:tcPr>
          <w:p>
            <w:r>
              <w:rPr>
                <w:rFonts w:ascii="Arial" w:hAnsi="Arial"/>
                <w:sz w:val="18"/>
              </w:rPr>
              <w:t>BRI: SBTi commitment (first in Indonesia)</w:t>
            </w:r>
          </w:p>
        </w:tc>
      </w:tr>
    </w:tbl>
    <w:p>
      <w:r>
        <w:rPr>
          <w:rFonts w:ascii="Arial" w:hAnsi="Arial"/>
          <w:i/>
          <w:sz w:val="16"/>
        </w:rPr>
        <w:t>Source: Reduction estimates based on peer performance benchmarks and institution's current emission profile. Actual reductions subject to implementation fidelity and operational conditions.</w:t>
      </w:r>
    </w:p>
    <w:p/>
    <w:p>
      <w:r>
        <w:rPr>
          <w:i/>
          <w:color w:val="3D6094"/>
          <w:sz w:val="18"/>
        </w:rPr>
        <w:t>Framework references: GRI 305-5: Reduction of GHG emissions; GRI 305-5 Guidance: Reduction initiatives include process redesign, equipment conversion, fuel switching, behavioral changes, and offsets; GRI 305-5 Compilation Requirement 2.9: Inventory method compares reductions to a base year; project method compares to a baseline; ISO 14064-2:2019: Greenhouse gases — Part 2: Specification with guidance at the project level for quantification, monitoring and reporting; SBTi Financial Sector Guidance: Portfolio-level decarbonization targets for financed emissions</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GRI 305-5 requires disclosure of reductions as a direct result of initiatives, separate from changes due to acquisitions, divestments, or organic operational changes. The organization does not yet track reduction initiatives separately from absolute emissions.</w:t>
      </w:r>
    </w:p>
    <w:p>
      <w:pPr>
        <w:spacing w:after="160" w:line="276" w:lineRule="auto"/>
        <w:jc w:val="both"/>
      </w:pPr>
      <w:r>
        <w:rPr>
          <w:rFonts w:ascii="Arial" w:hAnsi="Arial"/>
          <w:i/>
          <w:color w:val="646464"/>
          <w:sz w:val="18"/>
        </w:rPr>
        <w:t>Peer benchmark data sourced from publicly available sustainability reports: BRI Sustainability Report 2023, DBS Group Sustainability Report 2023, Bank Mandiri Sustainability Report 2023, BCA Sustainability Report 2024.</w:t>
      </w:r>
    </w:p>
    <w:p>
      <w:pPr>
        <w:spacing w:after="160" w:line="276" w:lineRule="auto"/>
        <w:jc w:val="both"/>
      </w:pPr>
      <w:r>
        <w:rPr>
          <w:rFonts w:ascii="Arial" w:hAnsi="Arial"/>
          <w:i/>
          <w:color w:val="646464"/>
          <w:sz w:val="18"/>
        </w:rPr>
        <w:t>Recommended reduction targets are illustrative estimates based on peer performance and should be validated through detailed feasibility studies and energy audits.</w:t>
      </w:r>
    </w:p>
    <w:p>
      <w:pPr>
        <w:spacing w:after="160" w:line="276" w:lineRule="auto"/>
        <w:jc w:val="both"/>
      </w:pPr>
      <w:r>
        <w:rPr>
          <w:rFonts w:ascii="Arial" w:hAnsi="Arial"/>
          <w:i/>
          <w:color w:val="646464"/>
          <w:sz w:val="18"/>
        </w:rPr>
        <w:t>SBTi (Science Based Targets initiative) commitment requires financial institutions to set portfolio-level decarbonization targets aligned with 1.5°C pathways. BRI is the first Indonesian financial institution to submit an SBTi commitment letter.</w:t>
      </w:r>
    </w:p>
    <w:p>
      <w:r>
        <w:br w:type="page"/>
      </w:r>
    </w:p>
    <w:p>
      <w:pPr>
        <w:pStyle w:val="Heading1"/>
        <w:keepNext/>
        <w:spacing w:before="480" w:after="240"/>
      </w:pPr>
      <w:r>
        <w:rPr>
          <w:rFonts w:ascii="Arial" w:hAnsi="Arial"/>
          <w:b/>
          <w:color w:val="1B3A6B"/>
          <w:sz w:val="36"/>
        </w:rPr>
        <w:t>Executive Summary: Total Greenhouse Gas Emissions</w:t>
      </w:r>
    </w:p>
    <w:p>
      <w:pPr>
        <w:spacing w:after="160" w:line="276" w:lineRule="auto"/>
        <w:jc w:val="both"/>
      </w:pPr>
      <w:r>
        <w:rPr>
          <w:rFonts w:ascii="Arial" w:hAnsi="Arial"/>
          <w:sz w:val="22"/>
        </w:rPr>
        <w:t>For the reporting year 2023, the institution's total greenhouse gas footprint was 22,959,914.99 tCO2e. This figure encompasses direct emissions from owned or controlled sources (Scope 1), indirect emissions from purchased electricity (Scope 2 market-based), and financed emissions from the institution's lending and investment portfolio (Scope 3 Category 15). The institution applied the market-based method for Scope 2 emissions in accordance with the GHG Protocol Corporate Accounting and Reporting Standard hierarchy.</w:t>
      </w:r>
    </w:p>
    <w:p>
      <w:pPr>
        <w:spacing w:after="160" w:line="276" w:lineRule="auto"/>
        <w:jc w:val="both"/>
      </w:pPr>
      <w:r>
        <w:rPr>
          <w:rFonts w:ascii="Arial" w:hAnsi="Arial"/>
          <w:sz w:val="22"/>
        </w:rPr>
        <w:t>Scope 3 Category 15 financed emissions constituted 99.79% of the institution's total carbon footprint at 22,911,991.05 tCO2e, reflecting the institution's primary climate impact through its financing activities. Scope 2 market-based emissions from purchased electricity accounted for 44,598.12 tCO2e (0.19% of total), while Scope 1 direct emissions from natural gas combustion and diesel fuel consumption totaled 3,324.52 tCO2e (0.01% of total). The location-based Scope 2 total was 44,599.44 tCO2e, reported as supplementary information.</w:t>
      </w:r>
    </w:p>
    <w:p>
      <w:pPr>
        <w:spacing w:after="160" w:line="276" w:lineRule="auto"/>
        <w:jc w:val="both"/>
      </w:pPr>
      <w:r>
        <w:rPr>
          <w:rFonts w:ascii="Arial" w:hAnsi="Arial"/>
          <w:sz w:val="22"/>
        </w:rPr>
        <w:t>The institution's carbon intensity metrics for 2023 were 270.12 tCO2e per IDR billion of total assets and 1.96 tCO2e per full-time equivalent employee. These intensity ratios provide normalized measures of emissions performance relative to the institution's operational scale and workforce size.</w:t>
      </w:r>
    </w:p>
    <w:p>
      <w:pPr>
        <w:spacing w:after="160" w:line="276" w:lineRule="auto"/>
        <w:jc w:val="both"/>
      </w:pPr>
      <w:r>
        <w:rPr>
          <w:rFonts w:ascii="Arial" w:hAnsi="Arial"/>
          <w:i/>
          <w:sz w:val="22"/>
        </w:rPr>
        <w:t>The financed emissions calculation applied the Partnership for Carbon Accounting Financials (PCAF) methodology. The portfolio-weighted average PCAF data quality score was 3.43 on a scale of 1 (highest quality, primary data) to 5 (lowest quality, estimated data). This score indicates that the majority of financed emissions were calculated using sector-average emission factors rather than borrower-specific reported data. The institution has established a data quality improvement roadmap to increase the proportion of borrower-specific emissions data in future reporting periods.</w:t>
      </w:r>
    </w:p>
    <w:p>
      <w:r>
        <w:rPr>
          <w:rFonts w:ascii="Arial" w:hAnsi="Arial"/>
          <w:b/>
          <w:sz w:val="20"/>
        </w:rPr>
        <w:t>Table 1: Total GHG Emissions by Scope (2023)</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Scope</w:t>
            </w:r>
          </w:p>
        </w:tc>
        <w:tc>
          <w:tcPr>
            <w:tcW w:type="dxa" w:w="3010"/>
            <w:shd w:fill="1B3A6B" w:val="clear"/>
          </w:tcPr>
          <w:p>
            <w:r>
              <w:rPr>
                <w:rFonts w:ascii="Arial" w:hAnsi="Arial"/>
                <w:b/>
                <w:color w:val="FFFFFF"/>
                <w:sz w:val="18"/>
              </w:rPr>
              <w:t>Emissions (tCO2e)</w:t>
            </w:r>
          </w:p>
        </w:tc>
        <w:tc>
          <w:tcPr>
            <w:tcW w:type="dxa" w:w="3010"/>
            <w:shd w:fill="1B3A6B" w:val="clear"/>
          </w:tcPr>
          <w:p>
            <w:r>
              <w:rPr>
                <w:rFonts w:ascii="Arial" w:hAnsi="Arial"/>
                <w:b/>
                <w:color w:val="FFFFFF"/>
                <w:sz w:val="18"/>
              </w:rPr>
              <w:t>Percentage of Total (%)</w:t>
            </w:r>
          </w:p>
        </w:tc>
      </w:tr>
      <w:tr>
        <w:tc>
          <w:tcPr>
            <w:tcW w:type="dxa" w:w="3010"/>
          </w:tcPr>
          <w:p>
            <w:r>
              <w:rPr>
                <w:rFonts w:ascii="Arial" w:hAnsi="Arial"/>
                <w:sz w:val="18"/>
              </w:rPr>
              <w:t>Scope 1 (Direct)</w:t>
            </w:r>
          </w:p>
        </w:tc>
        <w:tc>
          <w:tcPr>
            <w:tcW w:type="dxa" w:w="3010"/>
          </w:tcPr>
          <w:p>
            <w:pPr>
              <w:jc w:val="right"/>
            </w:pPr>
            <w:r>
              <w:rPr>
                <w:rFonts w:ascii="Arial" w:hAnsi="Arial"/>
                <w:sz w:val="18"/>
              </w:rPr>
              <w:t>3,324.52</w:t>
            </w:r>
          </w:p>
        </w:tc>
        <w:tc>
          <w:tcPr>
            <w:tcW w:type="dxa" w:w="3010"/>
          </w:tcPr>
          <w:p>
            <w:pPr>
              <w:jc w:val="right"/>
            </w:pPr>
            <w:r>
              <w:rPr>
                <w:rFonts w:ascii="Arial" w:hAnsi="Arial"/>
                <w:sz w:val="18"/>
              </w:rPr>
              <w:t>0.01</w:t>
            </w:r>
          </w:p>
        </w:tc>
      </w:tr>
      <w:tr>
        <w:tc>
          <w:tcPr>
            <w:tcW w:type="dxa" w:w="3010"/>
            <w:shd w:fill="F2F6FC" w:val="clear"/>
          </w:tcPr>
          <w:p>
            <w:r>
              <w:rPr>
                <w:rFonts w:ascii="Arial" w:hAnsi="Arial"/>
                <w:sz w:val="18"/>
              </w:rPr>
              <w:t>Scope 2 (Market-based)</w:t>
            </w:r>
          </w:p>
        </w:tc>
        <w:tc>
          <w:tcPr>
            <w:tcW w:type="dxa" w:w="3010"/>
            <w:shd w:fill="F2F6FC" w:val="clear"/>
          </w:tcPr>
          <w:p>
            <w:pPr>
              <w:jc w:val="right"/>
            </w:pPr>
            <w:r>
              <w:rPr>
                <w:rFonts w:ascii="Arial" w:hAnsi="Arial"/>
                <w:sz w:val="18"/>
              </w:rPr>
              <w:t>44,598.12</w:t>
            </w:r>
          </w:p>
        </w:tc>
        <w:tc>
          <w:tcPr>
            <w:tcW w:type="dxa" w:w="3010"/>
            <w:shd w:fill="F2F6FC" w:val="clear"/>
          </w:tcPr>
          <w:p>
            <w:pPr>
              <w:jc w:val="right"/>
            </w:pPr>
            <w:r>
              <w:rPr>
                <w:rFonts w:ascii="Arial" w:hAnsi="Arial"/>
                <w:sz w:val="18"/>
              </w:rPr>
              <w:t>0.19</w:t>
            </w:r>
          </w:p>
        </w:tc>
      </w:tr>
      <w:tr>
        <w:tc>
          <w:tcPr>
            <w:tcW w:type="dxa" w:w="3010"/>
          </w:tcPr>
          <w:p>
            <w:r>
              <w:rPr>
                <w:rFonts w:ascii="Arial" w:hAnsi="Arial"/>
                <w:sz w:val="18"/>
              </w:rPr>
              <w:t>Scope 2 (Location-based)</w:t>
            </w:r>
          </w:p>
        </w:tc>
        <w:tc>
          <w:tcPr>
            <w:tcW w:type="dxa" w:w="3010"/>
          </w:tcPr>
          <w:p>
            <w:pPr>
              <w:jc w:val="right"/>
            </w:pPr>
            <w:r>
              <w:rPr>
                <w:rFonts w:ascii="Arial" w:hAnsi="Arial"/>
                <w:sz w:val="18"/>
              </w:rPr>
              <w:t>44,599.44</w:t>
            </w:r>
          </w:p>
        </w:tc>
        <w:tc>
          <w:tcPr>
            <w:tcW w:type="dxa" w:w="3010"/>
          </w:tcPr>
          <w:p>
            <w:pPr>
              <w:jc w:val="right"/>
            </w:pPr>
            <w:r>
              <w:rPr>
                <w:rFonts w:ascii="Arial" w:hAnsi="Arial"/>
                <w:sz w:val="18"/>
              </w:rPr>
              <w:t>0.19</w:t>
            </w:r>
          </w:p>
        </w:tc>
      </w:tr>
      <w:tr>
        <w:tc>
          <w:tcPr>
            <w:tcW w:type="dxa" w:w="3010"/>
            <w:shd w:fill="F2F6FC" w:val="clear"/>
          </w:tcPr>
          <w:p>
            <w:r>
              <w:rPr>
                <w:rFonts w:ascii="Arial" w:hAnsi="Arial"/>
                <w:sz w:val="18"/>
              </w:rPr>
              <w:t>Scope 3 Category 15 (Financed Emissions - Gross)</w:t>
            </w:r>
          </w:p>
        </w:tc>
        <w:tc>
          <w:tcPr>
            <w:tcW w:type="dxa" w:w="3010"/>
            <w:shd w:fill="F2F6FC" w:val="clear"/>
          </w:tcPr>
          <w:p>
            <w:pPr>
              <w:jc w:val="right"/>
            </w:pPr>
            <w:r>
              <w:rPr>
                <w:rFonts w:ascii="Arial" w:hAnsi="Arial"/>
                <w:sz w:val="18"/>
              </w:rPr>
              <w:t>22,911,991.05</w:t>
            </w:r>
          </w:p>
        </w:tc>
        <w:tc>
          <w:tcPr>
            <w:tcW w:type="dxa" w:w="3010"/>
            <w:shd w:fill="F2F6FC" w:val="clear"/>
          </w:tcPr>
          <w:p>
            <w:pPr>
              <w:jc w:val="right"/>
            </w:pPr>
            <w:r>
              <w:rPr>
                <w:rFonts w:ascii="Arial" w:hAnsi="Arial"/>
                <w:sz w:val="18"/>
              </w:rPr>
              <w:t>99.79</w:t>
            </w:r>
          </w:p>
        </w:tc>
      </w:tr>
      <w:tr>
        <w:tc>
          <w:tcPr>
            <w:tcW w:type="dxa" w:w="3010"/>
          </w:tcPr>
          <w:p>
            <w:r>
              <w:rPr>
                <w:rFonts w:ascii="Arial" w:hAnsi="Arial"/>
                <w:sz w:val="18"/>
              </w:rPr>
              <w:t>Total (Market-based)</w:t>
            </w:r>
          </w:p>
        </w:tc>
        <w:tc>
          <w:tcPr>
            <w:tcW w:type="dxa" w:w="3010"/>
          </w:tcPr>
          <w:p>
            <w:pPr>
              <w:jc w:val="right"/>
            </w:pPr>
            <w:r>
              <w:rPr>
                <w:rFonts w:ascii="Arial" w:hAnsi="Arial"/>
                <w:sz w:val="18"/>
              </w:rPr>
              <w:t>22,959,914.99</w:t>
            </w:r>
          </w:p>
        </w:tc>
        <w:tc>
          <w:tcPr>
            <w:tcW w:type="dxa" w:w="3010"/>
          </w:tcPr>
          <w:p>
            <w:pPr>
              <w:jc w:val="right"/>
            </w:pPr>
            <w:r>
              <w:rPr>
                <w:rFonts w:ascii="Arial" w:hAnsi="Arial"/>
                <w:sz w:val="18"/>
              </w:rPr>
              <w:t>100.00</w:t>
            </w:r>
          </w:p>
        </w:tc>
      </w:tr>
    </w:tbl>
    <w:p>
      <w:r>
        <w:rPr>
          <w:rFonts w:ascii="Arial" w:hAnsi="Arial"/>
          <w:i/>
          <w:sz w:val="16"/>
        </w:rPr>
        <w:t>Source: Scope 1 includes natural gas (1,199.03 tCO2e) and diesel fuel (2,125.49 tCO2e). Scope 2 market-based method applied per GHG Protocol hierarchy. Scope 3 Category 15 calculated using PCAF Standard (Third Edition).</w:t>
      </w:r>
    </w:p>
    <w:p/>
    <w:p>
      <w:r>
        <w:rPr>
          <w:rFonts w:ascii="Arial" w:hAnsi="Arial"/>
          <w:b/>
          <w:sz w:val="20"/>
        </w:rPr>
        <w:t>Table 2: Carbon Intensity Metrics (2023)</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Intensity Metric</w:t>
            </w:r>
          </w:p>
        </w:tc>
        <w:tc>
          <w:tcPr>
            <w:tcW w:type="dxa" w:w="3010"/>
            <w:shd w:fill="1B3A6B" w:val="clear"/>
          </w:tcPr>
          <w:p>
            <w:r>
              <w:rPr>
                <w:rFonts w:ascii="Arial" w:hAnsi="Arial"/>
                <w:b/>
                <w:color w:val="FFFFFF"/>
                <w:sz w:val="18"/>
              </w:rPr>
              <w:t>Value</w:t>
            </w:r>
          </w:p>
        </w:tc>
        <w:tc>
          <w:tcPr>
            <w:tcW w:type="dxa" w:w="3010"/>
            <w:shd w:fill="1B3A6B" w:val="clear"/>
          </w:tcPr>
          <w:p>
            <w:r>
              <w:rPr>
                <w:rFonts w:ascii="Arial" w:hAnsi="Arial"/>
                <w:b/>
                <w:color w:val="FFFFFF"/>
                <w:sz w:val="18"/>
              </w:rPr>
              <w:t>Unit</w:t>
            </w:r>
          </w:p>
        </w:tc>
      </w:tr>
      <w:tr>
        <w:tc>
          <w:tcPr>
            <w:tcW w:type="dxa" w:w="3010"/>
          </w:tcPr>
          <w:p>
            <w:r>
              <w:rPr>
                <w:rFonts w:ascii="Arial" w:hAnsi="Arial"/>
                <w:sz w:val="18"/>
              </w:rPr>
              <w:t>Emissions per Total Assets</w:t>
            </w:r>
          </w:p>
        </w:tc>
        <w:tc>
          <w:tcPr>
            <w:tcW w:type="dxa" w:w="3010"/>
          </w:tcPr>
          <w:p>
            <w:pPr>
              <w:jc w:val="right"/>
            </w:pPr>
            <w:r>
              <w:rPr>
                <w:rFonts w:ascii="Arial" w:hAnsi="Arial"/>
                <w:sz w:val="18"/>
              </w:rPr>
              <w:t>270.12</w:t>
            </w:r>
          </w:p>
        </w:tc>
        <w:tc>
          <w:tcPr>
            <w:tcW w:type="dxa" w:w="3010"/>
          </w:tcPr>
          <w:p>
            <w:r>
              <w:rPr>
                <w:rFonts w:ascii="Arial" w:hAnsi="Arial"/>
                <w:sz w:val="18"/>
              </w:rPr>
              <w:t>tCO2e per IDR billion</w:t>
            </w:r>
          </w:p>
        </w:tc>
      </w:tr>
      <w:tr>
        <w:tc>
          <w:tcPr>
            <w:tcW w:type="dxa" w:w="3010"/>
            <w:shd w:fill="F2F6FC" w:val="clear"/>
          </w:tcPr>
          <w:p>
            <w:r>
              <w:rPr>
                <w:rFonts w:ascii="Arial" w:hAnsi="Arial"/>
                <w:sz w:val="18"/>
              </w:rPr>
              <w:t>Emissions per Employee</w:t>
            </w:r>
          </w:p>
        </w:tc>
        <w:tc>
          <w:tcPr>
            <w:tcW w:type="dxa" w:w="3010"/>
            <w:shd w:fill="F2F6FC" w:val="clear"/>
          </w:tcPr>
          <w:p>
            <w:pPr>
              <w:jc w:val="right"/>
            </w:pPr>
            <w:r>
              <w:rPr>
                <w:rFonts w:ascii="Arial" w:hAnsi="Arial"/>
                <w:sz w:val="18"/>
              </w:rPr>
              <w:t>1.96</w:t>
            </w:r>
          </w:p>
        </w:tc>
        <w:tc>
          <w:tcPr>
            <w:tcW w:type="dxa" w:w="3010"/>
            <w:shd w:fill="F2F6FC" w:val="clear"/>
          </w:tcPr>
          <w:p>
            <w:r>
              <w:rPr>
                <w:rFonts w:ascii="Arial" w:hAnsi="Arial"/>
                <w:sz w:val="18"/>
              </w:rPr>
              <w:t>tCO2e per FTE</w:t>
            </w:r>
          </w:p>
        </w:tc>
      </w:tr>
    </w:tbl>
    <w:p>
      <w:r>
        <w:rPr>
          <w:rFonts w:ascii="Arial" w:hAnsi="Arial"/>
          <w:i/>
          <w:sz w:val="16"/>
        </w:rPr>
        <w:t>Source: Intensity denominators: Total assets and full-time equivalent (FTE) employee count as of December 31, 2023.</w:t>
      </w:r>
    </w:p>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Scope 1 emissions include natural gas combustion (1,199.03 tCO2e) and diesel fuel consumption (2,125.49 tCO2e) across the institution's operational facilities.</w:t>
      </w:r>
    </w:p>
    <w:p>
      <w:pPr>
        <w:spacing w:after="160" w:line="276" w:lineRule="auto"/>
        <w:jc w:val="both"/>
      </w:pPr>
      <w:r>
        <w:rPr>
          <w:rFonts w:ascii="Arial" w:hAnsi="Arial"/>
          <w:i/>
          <w:color w:val="646464"/>
          <w:sz w:val="18"/>
        </w:rPr>
        <w:t>Scope 2 emissions calculated using both location-based (grid average emission factors) and market-based (contractual instruments) methods. Market-based method is the primary reporting basis per GHG Protocol guidance.</w:t>
      </w:r>
    </w:p>
    <w:p>
      <w:pPr>
        <w:spacing w:after="160" w:line="276" w:lineRule="auto"/>
        <w:jc w:val="both"/>
      </w:pPr>
      <w:r>
        <w:rPr>
          <w:rFonts w:ascii="Arial" w:hAnsi="Arial"/>
          <w:i/>
          <w:color w:val="646464"/>
          <w:sz w:val="18"/>
        </w:rPr>
        <w:t>Scope 3 Category 15 financed emissions calculated using the PCAF Standard (Third Edition) for the institution's corporate lending portfolio. The weighted average PCAF data quality score of 3.43 indicates reliance on sector-average emission factors for the majority of the portfolio.</w:t>
      </w:r>
    </w:p>
    <w:p>
      <w:pPr>
        <w:spacing w:after="160" w:line="276" w:lineRule="auto"/>
        <w:jc w:val="both"/>
      </w:pPr>
      <w:r>
        <w:rPr>
          <w:rFonts w:ascii="Arial" w:hAnsi="Arial"/>
          <w:i/>
          <w:color w:val="646464"/>
          <w:sz w:val="18"/>
        </w:rPr>
        <w:t>Total emissions calculated as: Scope 1 (3,324.52 tCO2e) + Scope 2 Market-based (44,598.12 tCO2e) + Scope 3 Category 15 Gross (22,911,991.05 tCO2e) = 22,959,914.99 tCO2e.</w:t>
      </w:r>
    </w:p>
    <w:p>
      <w:r>
        <w:br w:type="page"/>
      </w:r>
    </w:p>
    <w:p>
      <w:pPr>
        <w:pStyle w:val="Heading1"/>
        <w:keepNext/>
        <w:spacing w:before="480" w:after="240"/>
      </w:pPr>
      <w:r>
        <w:rPr>
          <w:rFonts w:ascii="Arial" w:hAnsi="Arial"/>
          <w:b/>
          <w:color w:val="1B3A6B"/>
          <w:sz w:val="36"/>
        </w:rPr>
        <w:t>Appendix A: Methodology Notes</w:t>
      </w:r>
    </w:p>
    <w:p>
      <w:pPr>
        <w:spacing w:after="160" w:line="276" w:lineRule="auto"/>
        <w:jc w:val="both"/>
      </w:pPr>
      <w:r>
        <w:rPr>
          <w:rFonts w:ascii="Arial" w:hAnsi="Arial"/>
          <w:sz w:val="22"/>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pPr>
        <w:pStyle w:val="Heading1"/>
        <w:keepNext/>
        <w:spacing w:before="480" w:after="240"/>
      </w:pPr>
      <w:r>
        <w:rPr>
          <w:rFonts w:ascii="Arial" w:hAnsi="Arial"/>
          <w:b/>
          <w:color w:val="1B3A6B"/>
          <w:sz w:val="36"/>
        </w:rPr>
        <w:t>Appendix B: Data Quality Summary</w:t>
      </w:r>
    </w:p>
    <w:p>
      <w:pPr>
        <w:spacing w:after="160" w:line="276" w:lineRule="auto"/>
        <w:jc w:val="both"/>
      </w:pPr>
      <w:r>
        <w:rPr>
          <w:rFonts w:ascii="Arial" w:hAnsi="Arial"/>
          <w:sz w:val="22"/>
        </w:rPr>
        <w:t>Data quality is assessed per the PCAF data quality scoring framework (1-5) and the GHG Protocol data quality indicators. Portfolio-weighted PCAF score and data completeness percentage are reported in the main body.</w:t>
      </w:r>
    </w:p>
    <w:p>
      <w:pPr>
        <w:pStyle w:val="Heading1"/>
        <w:keepNext/>
        <w:spacing w:before="480" w:after="240"/>
      </w:pPr>
      <w:r>
        <w:rPr>
          <w:rFonts w:ascii="Arial" w:hAnsi="Arial"/>
          <w:b/>
          <w:color w:val="1B3A6B"/>
          <w:sz w:val="36"/>
        </w:rPr>
        <w:t>Appendix C: GRI Content Index</w:t>
      </w:r>
    </w:p>
    <w:p>
      <w:r>
        <w:rPr>
          <w:rFonts w:ascii="Arial" w:hAnsi="Arial"/>
          <w:b/>
          <w:sz w:val="20"/>
        </w:rPr>
        <w:t>GRI Standards Content Index</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 Standard</w:t>
            </w:r>
          </w:p>
        </w:tc>
        <w:tc>
          <w:tcPr>
            <w:tcW w:type="dxa" w:w="2257"/>
            <w:shd w:fill="1B3A6B" w:val="clear"/>
          </w:tcPr>
          <w:p>
            <w:r>
              <w:rPr>
                <w:rFonts w:ascii="Arial" w:hAnsi="Arial"/>
                <w:b/>
                <w:color w:val="FFFFFF"/>
                <w:sz w:val="18"/>
              </w:rPr>
              <w:t>Disclosure</w:t>
            </w:r>
          </w:p>
        </w:tc>
        <w:tc>
          <w:tcPr>
            <w:tcW w:type="dxa" w:w="2257"/>
            <w:shd w:fill="1B3A6B" w:val="clear"/>
          </w:tcPr>
          <w:p>
            <w:r>
              <w:rPr>
                <w:rFonts w:ascii="Arial" w:hAnsi="Arial"/>
                <w:b/>
                <w:color w:val="FFFFFF"/>
                <w:sz w:val="18"/>
              </w:rPr>
              <w:t>Section Reference</w:t>
            </w:r>
          </w:p>
        </w:tc>
        <w:tc>
          <w:tcPr>
            <w:tcW w:type="dxa" w:w="2257"/>
            <w:shd w:fill="1B3A6B" w:val="clear"/>
          </w:tcPr>
          <w:p>
            <w:r>
              <w:rPr>
                <w:rFonts w:ascii="Arial" w:hAnsi="Arial"/>
                <w:b/>
                <w:color w:val="FFFFFF"/>
                <w:sz w:val="18"/>
              </w:rPr>
              <w:t>Omission</w:t>
            </w:r>
          </w:p>
        </w:tc>
      </w:tr>
      <w:tr>
        <w:tc>
          <w:tcPr>
            <w:tcW w:type="dxa" w:w="2257"/>
          </w:tcPr>
          <w:p>
            <w:r>
              <w:rPr>
                <w:rFonts w:ascii="Arial" w:hAnsi="Arial"/>
                <w:sz w:val="18"/>
              </w:rPr>
              <w:t>GRI 2-7</w:t>
            </w:r>
          </w:p>
        </w:tc>
        <w:tc>
          <w:tcPr>
            <w:tcW w:type="dxa" w:w="2257"/>
          </w:tcPr>
          <w:p>
            <w:r>
              <w:rPr>
                <w:rFonts w:ascii="Arial" w:hAnsi="Arial"/>
                <w:sz w:val="18"/>
              </w:rPr>
              <w:t>Employees</w:t>
            </w:r>
          </w:p>
        </w:tc>
        <w:tc>
          <w:tcPr>
            <w:tcW w:type="dxa" w:w="2257"/>
          </w:tcPr>
          <w:p>
            <w:r>
              <w:rPr>
                <w:rFonts w:ascii="Arial" w:hAnsi="Arial"/>
                <w:sz w:val="18"/>
              </w:rPr>
              <w:t>Section: Social</w:t>
            </w:r>
          </w:p>
        </w:tc>
        <w:tc>
          <w:tcPr>
            <w:tcW w:type="dxa" w:w="2257"/>
          </w:tcPr>
          <w:p>
            <w:r>
              <w:rPr>
                <w:rFonts w:ascii="Arial" w:hAnsi="Arial"/>
                <w:sz w:val="18"/>
              </w:rPr>
              <w:t>None</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Direct (Scope 1) GHG emissions</w:t>
            </w:r>
          </w:p>
        </w:tc>
        <w:tc>
          <w:tcPr>
            <w:tcW w:type="dxa" w:w="2257"/>
            <w:shd w:fill="F2F6FC" w:val="clear"/>
          </w:tcPr>
          <w:p>
            <w:r>
              <w:rPr>
                <w:rFonts w:ascii="Arial" w:hAnsi="Arial"/>
                <w:sz w:val="18"/>
              </w:rPr>
              <w:t>Section: Scope 1</w:t>
            </w:r>
          </w:p>
        </w:tc>
        <w:tc>
          <w:tcPr>
            <w:tcW w:type="dxa" w:w="2257"/>
            <w:shd w:fill="F2F6FC" w:val="clear"/>
          </w:tcPr>
          <w:p>
            <w:r>
              <w:rPr>
                <w:rFonts w:ascii="Arial" w:hAnsi="Arial"/>
                <w:sz w:val="18"/>
              </w:rPr>
              <w:t>None</w:t>
            </w:r>
          </w:p>
        </w:tc>
      </w:tr>
      <w:tr>
        <w:tc>
          <w:tcPr>
            <w:tcW w:type="dxa" w:w="2257"/>
          </w:tcPr>
          <w:p>
            <w:r>
              <w:rPr>
                <w:rFonts w:ascii="Arial" w:hAnsi="Arial"/>
                <w:sz w:val="18"/>
              </w:rPr>
              <w:t>GRI 305-2</w:t>
            </w:r>
          </w:p>
        </w:tc>
        <w:tc>
          <w:tcPr>
            <w:tcW w:type="dxa" w:w="2257"/>
          </w:tcPr>
          <w:p>
            <w:r>
              <w:rPr>
                <w:rFonts w:ascii="Arial" w:hAnsi="Arial"/>
                <w:sz w:val="18"/>
              </w:rPr>
              <w:t>Energy indirect (Scope 2) GHG emissions</w:t>
            </w:r>
          </w:p>
        </w:tc>
        <w:tc>
          <w:tcPr>
            <w:tcW w:type="dxa" w:w="2257"/>
          </w:tcPr>
          <w:p>
            <w:r>
              <w:rPr>
                <w:rFonts w:ascii="Arial" w:hAnsi="Arial"/>
                <w:sz w:val="18"/>
              </w:rPr>
              <w:t>Section: Scope 2</w:t>
            </w:r>
          </w:p>
        </w:tc>
        <w:tc>
          <w:tcPr>
            <w:tcW w:type="dxa" w:w="2257"/>
          </w:tcPr>
          <w:p>
            <w:r>
              <w:rPr>
                <w:rFonts w:ascii="Arial" w:hAnsi="Arial"/>
                <w:sz w:val="18"/>
              </w:rPr>
              <w:t>None</w:t>
            </w:r>
          </w:p>
        </w:tc>
      </w:tr>
      <w:tr>
        <w:tc>
          <w:tcPr>
            <w:tcW w:type="dxa" w:w="2257"/>
            <w:shd w:fill="F2F6FC" w:val="clear"/>
          </w:tcPr>
          <w:p>
            <w:r>
              <w:rPr>
                <w:rFonts w:ascii="Arial" w:hAnsi="Arial"/>
                <w:sz w:val="18"/>
              </w:rPr>
              <w:t>GRI 305-3</w:t>
            </w:r>
          </w:p>
        </w:tc>
        <w:tc>
          <w:tcPr>
            <w:tcW w:type="dxa" w:w="2257"/>
            <w:shd w:fill="F2F6FC" w:val="clear"/>
          </w:tcPr>
          <w:p>
            <w:r>
              <w:rPr>
                <w:rFonts w:ascii="Arial" w:hAnsi="Arial"/>
                <w:sz w:val="18"/>
              </w:rPr>
              <w:t>Other indirect (Scope 3) GHG emissions</w:t>
            </w:r>
          </w:p>
        </w:tc>
        <w:tc>
          <w:tcPr>
            <w:tcW w:type="dxa" w:w="2257"/>
            <w:shd w:fill="F2F6FC" w:val="clear"/>
          </w:tcPr>
          <w:p>
            <w:r>
              <w:rPr>
                <w:rFonts w:ascii="Arial" w:hAnsi="Arial"/>
                <w:sz w:val="18"/>
              </w:rPr>
              <w:t>Section: PCAF</w:t>
            </w:r>
          </w:p>
        </w:tc>
        <w:tc>
          <w:tcPr>
            <w:tcW w:type="dxa" w:w="2257"/>
            <w:shd w:fill="F2F6FC" w:val="clear"/>
          </w:tcPr>
          <w:p>
            <w:r>
              <w:rPr>
                <w:rFonts w:ascii="Arial" w:hAnsi="Arial"/>
                <w:sz w:val="18"/>
              </w:rPr>
              <w:t>None</w:t>
            </w:r>
          </w:p>
        </w:tc>
      </w:tr>
      <w:tr>
        <w:tc>
          <w:tcPr>
            <w:tcW w:type="dxa" w:w="2257"/>
          </w:tcPr>
          <w:p>
            <w:r>
              <w:rPr>
                <w:rFonts w:ascii="Arial" w:hAnsi="Arial"/>
                <w:sz w:val="18"/>
              </w:rPr>
              <w:t>GRI 305-4</w:t>
            </w:r>
          </w:p>
        </w:tc>
        <w:tc>
          <w:tcPr>
            <w:tcW w:type="dxa" w:w="2257"/>
          </w:tcPr>
          <w:p>
            <w:r>
              <w:rPr>
                <w:rFonts w:ascii="Arial" w:hAnsi="Arial"/>
                <w:sz w:val="18"/>
              </w:rPr>
              <w:t>GHG emissions intensity</w:t>
            </w:r>
          </w:p>
        </w:tc>
        <w:tc>
          <w:tcPr>
            <w:tcW w:type="dxa" w:w="2257"/>
          </w:tcPr>
          <w:p>
            <w:r>
              <w:rPr>
                <w:rFonts w:ascii="Arial" w:hAnsi="Arial"/>
                <w:sz w:val="18"/>
              </w:rPr>
              <w:t>Section: Intensity</w:t>
            </w:r>
          </w:p>
        </w:tc>
        <w:tc>
          <w:tcPr>
            <w:tcW w:type="dxa" w:w="2257"/>
          </w:tcPr>
          <w:p>
            <w:r>
              <w:rPr>
                <w:rFonts w:ascii="Arial" w:hAnsi="Arial"/>
                <w:sz w:val="18"/>
              </w:rPr>
              <w:t>None</w:t>
            </w:r>
          </w:p>
        </w:tc>
      </w:tr>
      <w:tr>
        <w:tc>
          <w:tcPr>
            <w:tcW w:type="dxa" w:w="2257"/>
            <w:shd w:fill="F2F6FC" w:val="clear"/>
          </w:tcPr>
          <w:p>
            <w:r>
              <w:rPr>
                <w:rFonts w:ascii="Arial" w:hAnsi="Arial"/>
                <w:sz w:val="18"/>
              </w:rPr>
              <w:t>GRI 305-5</w:t>
            </w:r>
          </w:p>
        </w:tc>
        <w:tc>
          <w:tcPr>
            <w:tcW w:type="dxa" w:w="2257"/>
            <w:shd w:fill="F2F6FC" w:val="clear"/>
          </w:tcPr>
          <w:p>
            <w:r>
              <w:rPr>
                <w:rFonts w:ascii="Arial" w:hAnsi="Arial"/>
                <w:sz w:val="18"/>
              </w:rPr>
              <w:t>Reduction of GHG emissions</w:t>
            </w:r>
          </w:p>
        </w:tc>
        <w:tc>
          <w:tcPr>
            <w:tcW w:type="dxa" w:w="2257"/>
            <w:shd w:fill="F2F6FC" w:val="clear"/>
          </w:tcPr>
          <w:p>
            <w:r>
              <w:rPr>
                <w:rFonts w:ascii="Arial" w:hAnsi="Arial"/>
                <w:sz w:val="18"/>
              </w:rPr>
              <w:t>Section: Reduction</w:t>
            </w:r>
          </w:p>
        </w:tc>
        <w:tc>
          <w:tcPr>
            <w:tcW w:type="dxa" w:w="2257"/>
            <w:shd w:fill="F2F6FC" w:val="clear"/>
          </w:tcPr>
          <w:p>
            <w:r>
              <w:rPr>
                <w:rFonts w:ascii="Arial" w:hAnsi="Arial"/>
                <w:sz w:val="18"/>
              </w:rPr>
              <w:t>Partial — targets in development</w:t>
            </w:r>
          </w:p>
        </w:tc>
      </w:tr>
      <w:tr>
        <w:tc>
          <w:tcPr>
            <w:tcW w:type="dxa" w:w="2257"/>
          </w:tcPr>
          <w:p>
            <w:r>
              <w:rPr>
                <w:rFonts w:ascii="Arial" w:hAnsi="Arial"/>
                <w:sz w:val="18"/>
              </w:rPr>
              <w:t>GRI 401-1</w:t>
            </w:r>
          </w:p>
        </w:tc>
        <w:tc>
          <w:tcPr>
            <w:tcW w:type="dxa" w:w="2257"/>
          </w:tcPr>
          <w:p>
            <w:r>
              <w:rPr>
                <w:rFonts w:ascii="Arial" w:hAnsi="Arial"/>
                <w:sz w:val="18"/>
              </w:rPr>
              <w:t>New employee hires and employee turnover</w:t>
            </w:r>
          </w:p>
        </w:tc>
        <w:tc>
          <w:tcPr>
            <w:tcW w:type="dxa" w:w="2257"/>
          </w:tcPr>
          <w:p>
            <w:r>
              <w:rPr>
                <w:rFonts w:ascii="Arial" w:hAnsi="Arial"/>
                <w:sz w:val="18"/>
              </w:rPr>
              <w:t>Section: Social</w:t>
            </w:r>
          </w:p>
        </w:tc>
        <w:tc>
          <w:tcPr>
            <w:tcW w:type="dxa" w:w="2257"/>
          </w:tcPr>
          <w:p>
            <w:r>
              <w:rPr>
                <w:rFonts w:ascii="Arial" w:hAnsi="Arial"/>
                <w:sz w:val="18"/>
              </w:rPr>
              <w:t>None</w:t>
            </w:r>
          </w:p>
        </w:tc>
      </w:tr>
      <w:tr>
        <w:tc>
          <w:tcPr>
            <w:tcW w:type="dxa" w:w="2257"/>
            <w:shd w:fill="F2F6FC" w:val="clear"/>
          </w:tcPr>
          <w:p>
            <w:r>
              <w:rPr>
                <w:rFonts w:ascii="Arial" w:hAnsi="Arial"/>
                <w:sz w:val="18"/>
              </w:rPr>
              <w:t>GRI 404-1</w:t>
            </w:r>
          </w:p>
        </w:tc>
        <w:tc>
          <w:tcPr>
            <w:tcW w:type="dxa" w:w="2257"/>
            <w:shd w:fill="F2F6FC" w:val="clear"/>
          </w:tcPr>
          <w:p>
            <w:r>
              <w:rPr>
                <w:rFonts w:ascii="Arial" w:hAnsi="Arial"/>
                <w:sz w:val="18"/>
              </w:rPr>
              <w:t>Average hours of training per year per employee</w:t>
            </w:r>
          </w:p>
        </w:tc>
        <w:tc>
          <w:tcPr>
            <w:tcW w:type="dxa" w:w="2257"/>
            <w:shd w:fill="F2F6FC" w:val="clear"/>
          </w:tcPr>
          <w:p>
            <w:r>
              <w:rPr>
                <w:rFonts w:ascii="Arial" w:hAnsi="Arial"/>
                <w:sz w:val="18"/>
              </w:rPr>
              <w:t>Section: Social</w:t>
            </w:r>
          </w:p>
        </w:tc>
        <w:tc>
          <w:tcPr>
            <w:tcW w:type="dxa" w:w="2257"/>
            <w:shd w:fill="F2F6FC" w:val="clear"/>
          </w:tcPr>
          <w:p>
            <w:r>
              <w:rPr>
                <w:rFonts w:ascii="Arial" w:hAnsi="Arial"/>
                <w:sz w:val="18"/>
              </w:rPr>
              <w:t>None</w:t>
            </w:r>
          </w:p>
        </w:tc>
      </w:tr>
      <w:tr>
        <w:tc>
          <w:tcPr>
            <w:tcW w:type="dxa" w:w="2257"/>
          </w:tcPr>
          <w:p>
            <w:r>
              <w:rPr>
                <w:rFonts w:ascii="Arial" w:hAnsi="Arial"/>
                <w:sz w:val="18"/>
              </w:rPr>
              <w:t>GRI 405-1</w:t>
            </w:r>
          </w:p>
        </w:tc>
        <w:tc>
          <w:tcPr>
            <w:tcW w:type="dxa" w:w="2257"/>
          </w:tcPr>
          <w:p>
            <w:r>
              <w:rPr>
                <w:rFonts w:ascii="Arial" w:hAnsi="Arial"/>
                <w:sz w:val="18"/>
              </w:rPr>
              <w:t>Diversity of governance bodies and employees</w:t>
            </w:r>
          </w:p>
        </w:tc>
        <w:tc>
          <w:tcPr>
            <w:tcW w:type="dxa" w:w="2257"/>
          </w:tcPr>
          <w:p>
            <w:r>
              <w:rPr>
                <w:rFonts w:ascii="Arial" w:hAnsi="Arial"/>
                <w:sz w:val="18"/>
              </w:rPr>
              <w:t>Section: Social</w:t>
            </w:r>
          </w:p>
        </w:tc>
        <w:tc>
          <w:tcPr>
            <w:tcW w:type="dxa" w:w="2257"/>
          </w:tcPr>
          <w:p>
            <w:r>
              <w:rPr>
                <w:rFonts w:ascii="Arial" w:hAnsi="Arial"/>
                <w:sz w:val="18"/>
              </w:rPr>
              <w:t>None</w:t>
            </w:r>
          </w:p>
        </w:tc>
      </w:tr>
      <w:tr>
        <w:tc>
          <w:tcPr>
            <w:tcW w:type="dxa" w:w="2257"/>
            <w:shd w:fill="F2F6FC" w:val="clear"/>
          </w:tcPr>
          <w:p>
            <w:r>
              <w:rPr>
                <w:rFonts w:ascii="Arial" w:hAnsi="Arial"/>
                <w:sz w:val="18"/>
              </w:rPr>
              <w:t>GRI 406-1</w:t>
            </w:r>
          </w:p>
        </w:tc>
        <w:tc>
          <w:tcPr>
            <w:tcW w:type="dxa" w:w="2257"/>
            <w:shd w:fill="F2F6FC" w:val="clear"/>
          </w:tcPr>
          <w:p>
            <w:r>
              <w:rPr>
                <w:rFonts w:ascii="Arial" w:hAnsi="Arial"/>
                <w:sz w:val="18"/>
              </w:rPr>
              <w:t>Incidents of discrimination and corrective actions</w:t>
            </w:r>
          </w:p>
        </w:tc>
        <w:tc>
          <w:tcPr>
            <w:tcW w:type="dxa" w:w="2257"/>
            <w:shd w:fill="F2F6FC" w:val="clear"/>
          </w:tcPr>
          <w:p>
            <w:r>
              <w:rPr>
                <w:rFonts w:ascii="Arial" w:hAnsi="Arial"/>
                <w:sz w:val="18"/>
              </w:rPr>
              <w:t>Section: Social</w:t>
            </w:r>
          </w:p>
        </w:tc>
        <w:tc>
          <w:tcPr>
            <w:tcW w:type="dxa" w:w="2257"/>
            <w:shd w:fill="F2F6FC" w:val="clear"/>
          </w:tcPr>
          <w:p>
            <w:r>
              <w:rPr>
                <w:rFonts w:ascii="Arial" w:hAnsi="Arial"/>
                <w:sz w:val="18"/>
              </w:rPr>
              <w:t>None</w:t>
            </w:r>
          </w:p>
        </w:tc>
      </w:tr>
    </w:tbl>
    <w:p>
      <w:r>
        <w:rPr>
          <w:rFonts w:ascii="Arial" w:hAnsi="Arial"/>
          <w:i/>
          <w:sz w:val="16"/>
        </w:rPr>
        <w:t>Source: GRI Standards 2021</w:t>
      </w:r>
    </w:p>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GRI_305 2023</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2023 - GRI_305</dc:title>
  <dc:subject>GHG Emissions Disclosure - GRI_305</dc:subject>
  <dc:creator>ESG Reporting System (GENERIC_FI_001)</dc:creator>
  <cp:keywords>ESG, GHG, GRI_305, 2023, PCAF, Scope1, Scope2, Scope3</cp:keywords>
  <dc:description>Generated by execution: arn:aws:states:us-east-1:061039769766:execution:ESGReportGenerationStateMachine:e22a229d-df28-4ed4-8532-9bd7de141e8c</dc:description>
  <cp:lastModifiedBy/>
  <cp:revision>1</cp:revision>
  <dcterms:created xsi:type="dcterms:W3CDTF">2013-12-23T23:15:00Z</dcterms:created>
  <dcterms:modified xsi:type="dcterms:W3CDTF">2013-12-23T23:15:00Z</dcterms:modified>
  <cp:category>ESG Sustainability Report</cp:category>
</cp:coreProperties>
</file>