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4BF1" w14:textId="77777777" w:rsidR="004842BC" w:rsidRPr="007A5F0E" w:rsidRDefault="004842BC"/>
    <w:p w14:paraId="1500545D" w14:textId="77777777" w:rsidR="004842BC" w:rsidRPr="007A5F0E" w:rsidRDefault="005D0458">
      <w:pPr>
        <w:jc w:val="center"/>
      </w:pPr>
      <w:r w:rsidRPr="007A5F0E">
        <w:rPr>
          <w:color w:val="999999"/>
          <w:sz w:val="24"/>
        </w:rPr>
        <w:t>[INSTITUTION LOGO]</w:t>
      </w:r>
    </w:p>
    <w:p w14:paraId="48B13845" w14:textId="77777777" w:rsidR="004842BC" w:rsidRPr="007A5F0E" w:rsidRDefault="004842BC"/>
    <w:p w14:paraId="51C889A7" w14:textId="77777777" w:rsidR="004842BC" w:rsidRPr="007A5F0E" w:rsidRDefault="004842BC"/>
    <w:p w14:paraId="1555BCAA" w14:textId="77777777" w:rsidR="004842BC" w:rsidRPr="007A5F0E" w:rsidRDefault="005D0458">
      <w:pPr>
        <w:pStyle w:val="Heading1"/>
        <w:spacing w:after="240"/>
        <w:jc w:val="center"/>
      </w:pPr>
      <w:bookmarkStart w:id="0" w:name="_Toc231546133"/>
      <w:r w:rsidRPr="007A5F0E">
        <w:rPr>
          <w:rFonts w:ascii="Arial" w:hAnsi="Arial"/>
          <w:color w:val="1B3A6B"/>
          <w:sz w:val="36"/>
        </w:rPr>
        <w:t>ESG Sustainability Report</w:t>
      </w:r>
      <w:bookmarkEnd w:id="0"/>
    </w:p>
    <w:p w14:paraId="153375F1" w14:textId="77777777" w:rsidR="004842BC" w:rsidRPr="007A5F0E" w:rsidRDefault="005D0458">
      <w:pPr>
        <w:pStyle w:val="Heading2"/>
        <w:spacing w:before="360" w:after="160"/>
        <w:jc w:val="center"/>
      </w:pPr>
      <w:bookmarkStart w:id="1" w:name="_Toc231546134"/>
      <w:r w:rsidRPr="007A5F0E">
        <w:rPr>
          <w:rFonts w:ascii="Arial" w:hAnsi="Arial"/>
          <w:color w:val="3D6094"/>
          <w:sz w:val="28"/>
        </w:rPr>
        <w:t>Reporting Year 2024</w:t>
      </w:r>
      <w:bookmarkEnd w:id="1"/>
    </w:p>
    <w:p w14:paraId="72404A28" w14:textId="77777777" w:rsidR="004842BC" w:rsidRPr="007A5F0E" w:rsidRDefault="004842BC"/>
    <w:p w14:paraId="2769D5CC" w14:textId="77777777" w:rsidR="004842BC" w:rsidRPr="007A5F0E" w:rsidRDefault="005D0458">
      <w:pPr>
        <w:jc w:val="center"/>
      </w:pPr>
      <w:r w:rsidRPr="007A5F0E">
        <w:rPr>
          <w:rFonts w:ascii="Arial" w:hAnsi="Arial"/>
        </w:rPr>
        <w:t>Institution: GENERIC_FI_001</w:t>
      </w:r>
    </w:p>
    <w:p w14:paraId="223BB0ED" w14:textId="77777777" w:rsidR="004842BC" w:rsidRPr="007A5F0E" w:rsidRDefault="005D0458">
      <w:pPr>
        <w:jc w:val="center"/>
      </w:pPr>
      <w:r w:rsidRPr="007A5F0E">
        <w:rPr>
          <w:rFonts w:ascii="Arial" w:hAnsi="Arial"/>
        </w:rPr>
        <w:t>Framework: GRI_305</w:t>
      </w:r>
    </w:p>
    <w:p w14:paraId="66FF4851" w14:textId="77777777" w:rsidR="004842BC" w:rsidRPr="007A5F0E" w:rsidRDefault="005D0458">
      <w:pPr>
        <w:jc w:val="center"/>
      </w:pPr>
      <w:r w:rsidRPr="007A5F0E">
        <w:rPr>
          <w:rFonts w:ascii="Arial" w:hAnsi="Arial"/>
        </w:rPr>
        <w:t>Generated: 2026-06-04 05:00 UTC</w:t>
      </w:r>
    </w:p>
    <w:p w14:paraId="6A862B8E" w14:textId="77777777" w:rsidR="004842BC" w:rsidRPr="007A5F0E" w:rsidRDefault="005D0458">
      <w:pPr>
        <w:jc w:val="center"/>
      </w:pPr>
      <w:r w:rsidRPr="007A5F0E">
        <w:rPr>
          <w:rFonts w:ascii="Arial" w:hAnsi="Arial"/>
        </w:rPr>
        <w:t>Status: DRAFT — Subject to Review</w:t>
      </w:r>
    </w:p>
    <w:p w14:paraId="3841E883" w14:textId="77777777" w:rsidR="004842BC" w:rsidRPr="007A5F0E" w:rsidRDefault="005D0458">
      <w:pPr>
        <w:jc w:val="center"/>
      </w:pPr>
      <w:r w:rsidRPr="007A5F0E">
        <w:rPr>
          <w:rFonts w:ascii="Arial" w:hAnsi="Arial"/>
        </w:rPr>
        <w:t>Assurance Level: None</w:t>
      </w:r>
    </w:p>
    <w:p w14:paraId="5381C214" w14:textId="77777777" w:rsidR="004842BC" w:rsidRPr="007A5F0E" w:rsidRDefault="004842BC"/>
    <w:p w14:paraId="33FF66F6" w14:textId="77777777" w:rsidR="004842BC" w:rsidRPr="007A5F0E" w:rsidRDefault="004842BC"/>
    <w:p w14:paraId="681DC235" w14:textId="77777777" w:rsidR="004842BC" w:rsidRPr="007A5F0E" w:rsidRDefault="005D0458">
      <w:pPr>
        <w:jc w:val="center"/>
      </w:pPr>
      <w:r w:rsidRPr="007A5F0E">
        <w:rPr>
          <w:color w:val="993333"/>
          <w:sz w:val="18"/>
        </w:rPr>
        <w:t>CONFIDENTIAL — This document is for internal review purposes only. Do not distribute without authorization.</w:t>
      </w:r>
    </w:p>
    <w:p w14:paraId="58B05919" w14:textId="77777777" w:rsidR="004842BC" w:rsidRPr="007A5F0E" w:rsidRDefault="005D0458">
      <w:r w:rsidRPr="007A5F0E">
        <w:br w:type="page"/>
      </w:r>
    </w:p>
    <w:p w14:paraId="0056F8DD" w14:textId="77777777" w:rsidR="004842BC" w:rsidRPr="007A5F0E" w:rsidRDefault="005D0458">
      <w:pPr>
        <w:pStyle w:val="Heading1"/>
        <w:spacing w:after="240"/>
      </w:pPr>
      <w:bookmarkStart w:id="2" w:name="_Toc231546135"/>
      <w:r w:rsidRPr="007A5F0E">
        <w:rPr>
          <w:rFonts w:ascii="Arial" w:hAnsi="Arial"/>
          <w:color w:val="1B3A6B"/>
          <w:sz w:val="36"/>
        </w:rPr>
        <w:lastRenderedPageBreak/>
        <w:t>Table of Contents</w:t>
      </w:r>
      <w:bookmarkEnd w:id="2"/>
    </w:p>
    <w:p w14:paraId="2395F587" w14:textId="77777777" w:rsidR="004842BC" w:rsidRPr="007A5F0E" w:rsidRDefault="005D0458">
      <w:r w:rsidRPr="007A5F0E">
        <w:fldChar w:fldCharType="begin"/>
      </w:r>
      <w:r w:rsidRPr="007A5F0E">
        <w:instrText xml:space="preserve"> TOC \o "1-3" \h \z \u </w:instrText>
      </w:r>
      <w:r w:rsidRPr="007A5F0E">
        <w:fldChar w:fldCharType="end"/>
      </w:r>
    </w:p>
    <w:sdt>
      <w:sdtPr>
        <w:id w:val="-3531173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B0CD86D" w14:textId="06B55493" w:rsidR="007A5F0E" w:rsidRDefault="007A5F0E">
          <w:pPr>
            <w:pStyle w:val="TOCHeading"/>
          </w:pPr>
          <w:r>
            <w:t>Contents</w:t>
          </w:r>
        </w:p>
        <w:p w14:paraId="38C03E99" w14:textId="5AB4EA08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6133" w:history="1">
            <w:r w:rsidRPr="00B8056B">
              <w:rPr>
                <w:rStyle w:val="Hyperlink"/>
                <w:rFonts w:ascii="Arial" w:hAnsi="Arial"/>
                <w:noProof/>
              </w:rPr>
              <w:t>ESG Sustainability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53CA" w14:textId="6815364D" w:rsidR="007A5F0E" w:rsidRDefault="007A5F0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1546134" w:history="1">
            <w:r w:rsidRPr="00B8056B">
              <w:rPr>
                <w:rStyle w:val="Hyperlink"/>
                <w:rFonts w:ascii="Arial" w:hAnsi="Arial"/>
                <w:noProof/>
              </w:rPr>
              <w:t>Reporting Year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4EEB" w14:textId="4010D9C6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35" w:history="1">
            <w:r w:rsidRPr="00B8056B">
              <w:rPr>
                <w:rStyle w:val="Hyperlink"/>
                <w:rFonts w:ascii="Arial" w:hAnsi="Arial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3B60" w14:textId="6DEF678E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36" w:history="1">
            <w:r w:rsidRPr="00B8056B">
              <w:rPr>
                <w:rStyle w:val="Hyperlink"/>
                <w:rFonts w:ascii="Arial" w:hAnsi="Arial"/>
                <w:noProof/>
              </w:rPr>
              <w:t>GRI 305-1: Direct (Scope 1) GHG Emissions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BFF2" w14:textId="73D2FC3B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37" w:history="1">
            <w:r w:rsidRPr="00B8056B">
              <w:rPr>
                <w:rStyle w:val="Hyperlink"/>
                <w:rFonts w:ascii="Arial" w:hAnsi="Arial"/>
                <w:noProof/>
              </w:rPr>
              <w:t>GRI 305-3: Other Indirect (Scope 3) GHG Emissions — Financed Emissions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F7A50" w14:textId="678FE319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38" w:history="1">
            <w:r w:rsidRPr="00B8056B">
              <w:rPr>
                <w:rStyle w:val="Hyperlink"/>
                <w:rFonts w:ascii="Arial" w:hAnsi="Arial"/>
                <w:noProof/>
              </w:rPr>
              <w:t>Appendix A: Methodology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408E8" w14:textId="4F7FC379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39" w:history="1">
            <w:r w:rsidRPr="00B8056B">
              <w:rPr>
                <w:rStyle w:val="Hyperlink"/>
                <w:rFonts w:ascii="Arial" w:hAnsi="Arial"/>
                <w:noProof/>
              </w:rPr>
              <w:t>Appendix B: Data Quality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68ED0" w14:textId="48CD9B1A" w:rsidR="007A5F0E" w:rsidRDefault="007A5F0E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546140" w:history="1">
            <w:r w:rsidRPr="00B8056B">
              <w:rPr>
                <w:rStyle w:val="Hyperlink"/>
                <w:rFonts w:ascii="Arial" w:hAnsi="Arial"/>
                <w:noProof/>
              </w:rPr>
              <w:t>Appendix C: GRI Content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9E86" w14:textId="12C41063" w:rsidR="007A5F0E" w:rsidRDefault="007A5F0E">
          <w:r>
            <w:rPr>
              <w:b/>
              <w:bCs/>
              <w:noProof/>
            </w:rPr>
            <w:fldChar w:fldCharType="end"/>
          </w:r>
        </w:p>
      </w:sdtContent>
    </w:sdt>
    <w:p w14:paraId="4CCA0D33" w14:textId="77777777" w:rsidR="004842BC" w:rsidRPr="007A5F0E" w:rsidRDefault="005D0458">
      <w:r w:rsidRPr="007A5F0E">
        <w:br w:type="page"/>
      </w:r>
    </w:p>
    <w:p w14:paraId="7E693B69" w14:textId="77777777" w:rsidR="004842BC" w:rsidRPr="007A5F0E" w:rsidRDefault="005D0458">
      <w:pPr>
        <w:pStyle w:val="Heading1"/>
        <w:spacing w:after="240"/>
      </w:pPr>
      <w:bookmarkStart w:id="3" w:name="_Toc231546136"/>
      <w:r w:rsidRPr="007A5F0E">
        <w:rPr>
          <w:rFonts w:ascii="Arial" w:hAnsi="Arial"/>
          <w:color w:val="1B3A6B"/>
          <w:sz w:val="36"/>
        </w:rPr>
        <w:lastRenderedPageBreak/>
        <w:t>GRI 305-1: Direct (Scope 1) GHG Emissions</w:t>
      </w:r>
      <w:bookmarkEnd w:id="3"/>
    </w:p>
    <w:p w14:paraId="26191BD7" w14:textId="77777777" w:rsidR="004842BC" w:rsidRPr="007A5F0E" w:rsidRDefault="005D0458">
      <w:pPr>
        <w:spacing w:after="160"/>
      </w:pPr>
      <w:r w:rsidRPr="007A5F0E">
        <w:rPr>
          <w:rFonts w:ascii="Arial" w:hAnsi="Arial"/>
        </w:rPr>
        <w:t>Total direct GHG emissions for the reporting period amounted to 245.67 tCO2e, representing a decrease of 5.2% compared to the prior year.</w:t>
      </w:r>
    </w:p>
    <w:p w14:paraId="2C4DC1C7" w14:textId="77777777" w:rsidR="004842BC" w:rsidRPr="007A5F0E" w:rsidRDefault="005D0458">
      <w:pPr>
        <w:spacing w:after="160"/>
      </w:pPr>
      <w:r w:rsidRPr="007A5F0E">
        <w:rPr>
          <w:rFonts w:ascii="Arial" w:hAnsi="Arial"/>
        </w:rPr>
        <w:t>Emissions are quantified using the GHG Protocol operational control approach with DEFRA 2025 emission factors and IPCC AR6 GWP values.</w:t>
      </w:r>
    </w:p>
    <w:p w14:paraId="3E0FAB63" w14:textId="77777777" w:rsidR="004842BC" w:rsidRPr="007A5F0E" w:rsidRDefault="005D0458">
      <w:r w:rsidRPr="007A5F0E">
        <w:rPr>
          <w:rFonts w:ascii="Arial" w:hAnsi="Arial"/>
          <w:b/>
          <w:sz w:val="20"/>
        </w:rPr>
        <w:t>Scope 1 Emissions by Source (2024)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4842BC" w:rsidRPr="007A5F0E" w14:paraId="42F6340A" w14:textId="77777777">
        <w:trPr>
          <w:jc w:val="center"/>
        </w:trPr>
        <w:tc>
          <w:tcPr>
            <w:tcW w:w="3010" w:type="dxa"/>
            <w:shd w:val="clear" w:color="auto" w:fill="1B3A6B"/>
          </w:tcPr>
          <w:p w14:paraId="7A2EC25D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w="3010" w:type="dxa"/>
            <w:shd w:val="clear" w:color="auto" w:fill="1B3A6B"/>
          </w:tcPr>
          <w:p w14:paraId="6EE35BF9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Emissions (tCO2e)</w:t>
            </w:r>
          </w:p>
        </w:tc>
        <w:tc>
          <w:tcPr>
            <w:tcW w:w="3010" w:type="dxa"/>
            <w:shd w:val="clear" w:color="auto" w:fill="1B3A6B"/>
          </w:tcPr>
          <w:p w14:paraId="234C58C5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Share (%)</w:t>
            </w:r>
          </w:p>
        </w:tc>
      </w:tr>
      <w:tr w:rsidR="004842BC" w:rsidRPr="007A5F0E" w14:paraId="11124C50" w14:textId="77777777">
        <w:trPr>
          <w:jc w:val="center"/>
        </w:trPr>
        <w:tc>
          <w:tcPr>
            <w:tcW w:w="3010" w:type="dxa"/>
          </w:tcPr>
          <w:p w14:paraId="7A373F7E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Natural Gas Combustion</w:t>
            </w:r>
          </w:p>
        </w:tc>
        <w:tc>
          <w:tcPr>
            <w:tcW w:w="3010" w:type="dxa"/>
          </w:tcPr>
          <w:p w14:paraId="348BB923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189.23</w:t>
            </w:r>
          </w:p>
        </w:tc>
        <w:tc>
          <w:tcPr>
            <w:tcW w:w="3010" w:type="dxa"/>
          </w:tcPr>
          <w:p w14:paraId="6F4A50FF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77.0</w:t>
            </w:r>
          </w:p>
        </w:tc>
      </w:tr>
      <w:tr w:rsidR="004842BC" w:rsidRPr="007A5F0E" w14:paraId="3CFE0F2A" w14:textId="77777777">
        <w:trPr>
          <w:jc w:val="center"/>
        </w:trPr>
        <w:tc>
          <w:tcPr>
            <w:tcW w:w="3010" w:type="dxa"/>
            <w:shd w:val="clear" w:color="auto" w:fill="F2F6FC"/>
          </w:tcPr>
          <w:p w14:paraId="06064E57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Diesel (Generator Sets)</w:t>
            </w:r>
          </w:p>
        </w:tc>
        <w:tc>
          <w:tcPr>
            <w:tcW w:w="3010" w:type="dxa"/>
            <w:shd w:val="clear" w:color="auto" w:fill="F2F6FC"/>
          </w:tcPr>
          <w:p w14:paraId="3AF818B4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56.44</w:t>
            </w:r>
          </w:p>
        </w:tc>
        <w:tc>
          <w:tcPr>
            <w:tcW w:w="3010" w:type="dxa"/>
            <w:shd w:val="clear" w:color="auto" w:fill="F2F6FC"/>
          </w:tcPr>
          <w:p w14:paraId="5AD8749A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23.0</w:t>
            </w:r>
          </w:p>
        </w:tc>
      </w:tr>
      <w:tr w:rsidR="004842BC" w:rsidRPr="007A5F0E" w14:paraId="329100B3" w14:textId="77777777">
        <w:trPr>
          <w:jc w:val="center"/>
        </w:trPr>
        <w:tc>
          <w:tcPr>
            <w:tcW w:w="3010" w:type="dxa"/>
          </w:tcPr>
          <w:p w14:paraId="79988237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Total Scope 1</w:t>
            </w:r>
          </w:p>
        </w:tc>
        <w:tc>
          <w:tcPr>
            <w:tcW w:w="3010" w:type="dxa"/>
          </w:tcPr>
          <w:p w14:paraId="6AC86E84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245.67</w:t>
            </w:r>
          </w:p>
        </w:tc>
        <w:tc>
          <w:tcPr>
            <w:tcW w:w="3010" w:type="dxa"/>
          </w:tcPr>
          <w:p w14:paraId="2644A595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100.0</w:t>
            </w:r>
          </w:p>
        </w:tc>
      </w:tr>
    </w:tbl>
    <w:p w14:paraId="7FD49602" w14:textId="77777777" w:rsidR="004842BC" w:rsidRPr="007A5F0E" w:rsidRDefault="005D0458">
      <w:r w:rsidRPr="007A5F0E">
        <w:rPr>
          <w:rFonts w:ascii="Arial" w:hAnsi="Arial"/>
          <w:sz w:val="16"/>
        </w:rPr>
        <w:t>Source: ESG Data Platform — esg_aggregated.ghg_summary_annual</w:t>
      </w:r>
    </w:p>
    <w:p w14:paraId="198BD9C4" w14:textId="77777777" w:rsidR="004842BC" w:rsidRPr="007A5F0E" w:rsidRDefault="004842BC"/>
    <w:p w14:paraId="252E049A" w14:textId="77777777" w:rsidR="004842BC" w:rsidRPr="007A5F0E" w:rsidRDefault="005D0458">
      <w:r w:rsidRPr="007A5F0E">
        <w:rPr>
          <w:color w:val="3D6094"/>
          <w:sz w:val="18"/>
        </w:rPr>
        <w:t>Framework references: GRI 305-1a; GRI 305-1b; GRI 305-1c; GRI 305-1d; GRI 305-1e</w:t>
      </w:r>
    </w:p>
    <w:p w14:paraId="71735DF6" w14:textId="77777777" w:rsidR="004842BC" w:rsidRPr="007A5F0E" w:rsidRDefault="004842BC">
      <w:pPr>
        <w:pBdr>
          <w:bottom w:val="single" w:sz="6" w:space="1" w:color="999999"/>
        </w:pBdr>
        <w:spacing w:after="80"/>
      </w:pPr>
    </w:p>
    <w:p w14:paraId="71E89449" w14:textId="77777777" w:rsidR="004842BC" w:rsidRPr="007A5F0E" w:rsidRDefault="005D0458">
      <w:pPr>
        <w:spacing w:after="160"/>
      </w:pPr>
      <w:r w:rsidRPr="007A5F0E">
        <w:rPr>
          <w:rFonts w:ascii="Arial" w:hAnsi="Arial"/>
          <w:color w:val="646464"/>
          <w:sz w:val="18"/>
        </w:rPr>
        <w:t>GWP values applied: CH4 = 29.8, N2O = 273.0 (IPCC AR6, 100-year horizon)</w:t>
      </w:r>
    </w:p>
    <w:p w14:paraId="028DA058" w14:textId="77777777" w:rsidR="004842BC" w:rsidRPr="007A5F0E" w:rsidRDefault="005D0458">
      <w:pPr>
        <w:spacing w:after="160"/>
      </w:pPr>
      <w:r w:rsidRPr="007A5F0E">
        <w:rPr>
          <w:rFonts w:ascii="Arial" w:hAnsi="Arial"/>
          <w:color w:val="646464"/>
          <w:sz w:val="18"/>
        </w:rPr>
        <w:t>Consolidation approach: Operational control per GHG Protocol guidance</w:t>
      </w:r>
    </w:p>
    <w:p w14:paraId="0E4D1222" w14:textId="77777777" w:rsidR="004842BC" w:rsidRPr="007A5F0E" w:rsidRDefault="005D0458">
      <w:r w:rsidRPr="007A5F0E">
        <w:br w:type="page"/>
      </w:r>
    </w:p>
    <w:p w14:paraId="3DBD64BE" w14:textId="77777777" w:rsidR="004842BC" w:rsidRPr="007A5F0E" w:rsidRDefault="005D0458">
      <w:pPr>
        <w:pStyle w:val="Heading1"/>
        <w:spacing w:after="240"/>
      </w:pPr>
      <w:bookmarkStart w:id="4" w:name="_Toc231546137"/>
      <w:r w:rsidRPr="007A5F0E">
        <w:rPr>
          <w:rFonts w:ascii="Arial" w:hAnsi="Arial"/>
          <w:color w:val="1B3A6B"/>
          <w:sz w:val="36"/>
        </w:rPr>
        <w:lastRenderedPageBreak/>
        <w:t>GRI 305-3: Other Indirect (Scope 3) GHG Emissions — Financed Emissions</w:t>
      </w:r>
      <w:bookmarkEnd w:id="4"/>
    </w:p>
    <w:p w14:paraId="25CE94F5" w14:textId="77777777" w:rsidR="004842BC" w:rsidRPr="007A5F0E" w:rsidRDefault="005D0458">
      <w:pPr>
        <w:spacing w:after="160"/>
      </w:pPr>
      <w:r w:rsidRPr="007A5F0E">
        <w:rPr>
          <w:rFonts w:ascii="Arial" w:hAnsi="Arial"/>
        </w:rPr>
        <w:t>Financed emissions (Scope 3, Category 15) totaled 892,456.78 tCO2e on a gross basis and 714,532.11 tCO2e on a confidence-weighted basis. The portfolio-weighted PCAF data quality score stands at 3.43.</w:t>
      </w:r>
    </w:p>
    <w:p w14:paraId="01353CDF" w14:textId="77777777" w:rsidR="004842BC" w:rsidRPr="007A5F0E" w:rsidRDefault="005D0458">
      <w:r w:rsidRPr="007A5F0E">
        <w:rPr>
          <w:rFonts w:ascii="Arial" w:hAnsi="Arial"/>
          <w:b/>
          <w:sz w:val="20"/>
        </w:rPr>
        <w:t>Top 5 Sectors by Financed Emissions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4842BC" w:rsidRPr="007A5F0E" w14:paraId="6DA89C1D" w14:textId="77777777">
        <w:trPr>
          <w:jc w:val="center"/>
        </w:trPr>
        <w:tc>
          <w:tcPr>
            <w:tcW w:w="2257" w:type="dxa"/>
            <w:shd w:val="clear" w:color="auto" w:fill="1B3A6B"/>
          </w:tcPr>
          <w:p w14:paraId="726CDD86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Sector</w:t>
            </w:r>
          </w:p>
        </w:tc>
        <w:tc>
          <w:tcPr>
            <w:tcW w:w="2257" w:type="dxa"/>
            <w:shd w:val="clear" w:color="auto" w:fill="1B3A6B"/>
          </w:tcPr>
          <w:p w14:paraId="557B4575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Gross (tCO2e)</w:t>
            </w:r>
          </w:p>
        </w:tc>
        <w:tc>
          <w:tcPr>
            <w:tcW w:w="2257" w:type="dxa"/>
            <w:shd w:val="clear" w:color="auto" w:fill="1B3A6B"/>
          </w:tcPr>
          <w:p w14:paraId="75246E8B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Weighted (tCO2e)</w:t>
            </w:r>
          </w:p>
        </w:tc>
        <w:tc>
          <w:tcPr>
            <w:tcW w:w="2257" w:type="dxa"/>
            <w:shd w:val="clear" w:color="auto" w:fill="1B3A6B"/>
          </w:tcPr>
          <w:p w14:paraId="11B1D0EC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PCAF Score</w:t>
            </w:r>
          </w:p>
        </w:tc>
      </w:tr>
      <w:tr w:rsidR="004842BC" w:rsidRPr="007A5F0E" w14:paraId="3B490087" w14:textId="77777777">
        <w:trPr>
          <w:jc w:val="center"/>
        </w:trPr>
        <w:tc>
          <w:tcPr>
            <w:tcW w:w="2257" w:type="dxa"/>
          </w:tcPr>
          <w:p w14:paraId="7879EF15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Energy - Oil &amp; Gas</w:t>
            </w:r>
          </w:p>
        </w:tc>
        <w:tc>
          <w:tcPr>
            <w:tcW w:w="2257" w:type="dxa"/>
          </w:tcPr>
          <w:p w14:paraId="78D5DDDB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456,789.12</w:t>
            </w:r>
          </w:p>
        </w:tc>
        <w:tc>
          <w:tcPr>
            <w:tcW w:w="2257" w:type="dxa"/>
          </w:tcPr>
          <w:p w14:paraId="3FAD03AF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365,431.30</w:t>
            </w:r>
          </w:p>
        </w:tc>
        <w:tc>
          <w:tcPr>
            <w:tcW w:w="2257" w:type="dxa"/>
          </w:tcPr>
          <w:p w14:paraId="6B73246B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3.21</w:t>
            </w:r>
          </w:p>
        </w:tc>
      </w:tr>
      <w:tr w:rsidR="004842BC" w:rsidRPr="007A5F0E" w14:paraId="30ECC2E9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7AA604FE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Manufacturing - Heavy</w:t>
            </w:r>
          </w:p>
        </w:tc>
        <w:tc>
          <w:tcPr>
            <w:tcW w:w="2257" w:type="dxa"/>
            <w:shd w:val="clear" w:color="auto" w:fill="F2F6FC"/>
          </w:tcPr>
          <w:p w14:paraId="4E1A8F31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234,567.89</w:t>
            </w:r>
          </w:p>
        </w:tc>
        <w:tc>
          <w:tcPr>
            <w:tcW w:w="2257" w:type="dxa"/>
            <w:shd w:val="clear" w:color="auto" w:fill="F2F6FC"/>
          </w:tcPr>
          <w:p w14:paraId="6BF41BA5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187,654.31</w:t>
            </w:r>
          </w:p>
        </w:tc>
        <w:tc>
          <w:tcPr>
            <w:tcW w:w="2257" w:type="dxa"/>
            <w:shd w:val="clear" w:color="auto" w:fill="F2F6FC"/>
          </w:tcPr>
          <w:p w14:paraId="0ED588C6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3.56</w:t>
            </w:r>
          </w:p>
        </w:tc>
      </w:tr>
      <w:tr w:rsidR="004842BC" w:rsidRPr="007A5F0E" w14:paraId="03B941E7" w14:textId="77777777">
        <w:trPr>
          <w:jc w:val="center"/>
        </w:trPr>
        <w:tc>
          <w:tcPr>
            <w:tcW w:w="2257" w:type="dxa"/>
          </w:tcPr>
          <w:p w14:paraId="05FE3A37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Transportation</w:t>
            </w:r>
          </w:p>
        </w:tc>
        <w:tc>
          <w:tcPr>
            <w:tcW w:w="2257" w:type="dxa"/>
          </w:tcPr>
          <w:p w14:paraId="050C1418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98,765.43</w:t>
            </w:r>
          </w:p>
        </w:tc>
        <w:tc>
          <w:tcPr>
            <w:tcW w:w="2257" w:type="dxa"/>
          </w:tcPr>
          <w:p w14:paraId="3B6B9477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79,012.34</w:t>
            </w:r>
          </w:p>
        </w:tc>
        <w:tc>
          <w:tcPr>
            <w:tcW w:w="2257" w:type="dxa"/>
          </w:tcPr>
          <w:p w14:paraId="292B7877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3.78</w:t>
            </w:r>
          </w:p>
        </w:tc>
      </w:tr>
      <w:tr w:rsidR="004842BC" w:rsidRPr="007A5F0E" w14:paraId="3CBFF020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7521F822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Mining &amp; Metals</w:t>
            </w:r>
          </w:p>
        </w:tc>
        <w:tc>
          <w:tcPr>
            <w:tcW w:w="2257" w:type="dxa"/>
            <w:shd w:val="clear" w:color="auto" w:fill="F2F6FC"/>
          </w:tcPr>
          <w:p w14:paraId="3339198D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67,890.12</w:t>
            </w:r>
          </w:p>
        </w:tc>
        <w:tc>
          <w:tcPr>
            <w:tcW w:w="2257" w:type="dxa"/>
            <w:shd w:val="clear" w:color="auto" w:fill="F2F6FC"/>
          </w:tcPr>
          <w:p w14:paraId="309610F6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54,312.10</w:t>
            </w:r>
          </w:p>
        </w:tc>
        <w:tc>
          <w:tcPr>
            <w:tcW w:w="2257" w:type="dxa"/>
            <w:shd w:val="clear" w:color="auto" w:fill="F2F6FC"/>
          </w:tcPr>
          <w:p w14:paraId="081585F0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4.01</w:t>
            </w:r>
          </w:p>
        </w:tc>
      </w:tr>
      <w:tr w:rsidR="004842BC" w:rsidRPr="007A5F0E" w14:paraId="41F089DF" w14:textId="77777777">
        <w:trPr>
          <w:jc w:val="center"/>
        </w:trPr>
        <w:tc>
          <w:tcPr>
            <w:tcW w:w="2257" w:type="dxa"/>
          </w:tcPr>
          <w:p w14:paraId="2A6BCE59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Utilities</w:t>
            </w:r>
          </w:p>
        </w:tc>
        <w:tc>
          <w:tcPr>
            <w:tcW w:w="2257" w:type="dxa"/>
          </w:tcPr>
          <w:p w14:paraId="04D7F431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34,444.22</w:t>
            </w:r>
          </w:p>
        </w:tc>
        <w:tc>
          <w:tcPr>
            <w:tcW w:w="2257" w:type="dxa"/>
          </w:tcPr>
          <w:p w14:paraId="6BBFB6B1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28,122.06</w:t>
            </w:r>
          </w:p>
        </w:tc>
        <w:tc>
          <w:tcPr>
            <w:tcW w:w="2257" w:type="dxa"/>
          </w:tcPr>
          <w:p w14:paraId="34D09BAA" w14:textId="77777777" w:rsidR="004842BC" w:rsidRPr="007A5F0E" w:rsidRDefault="005D0458">
            <w:pPr>
              <w:jc w:val="right"/>
            </w:pPr>
            <w:r w:rsidRPr="007A5F0E">
              <w:rPr>
                <w:rFonts w:ascii="Arial" w:hAnsi="Arial"/>
                <w:sz w:val="18"/>
              </w:rPr>
              <w:t>2.89</w:t>
            </w:r>
          </w:p>
        </w:tc>
      </w:tr>
    </w:tbl>
    <w:p w14:paraId="43E603EE" w14:textId="77777777" w:rsidR="004842BC" w:rsidRPr="007A5F0E" w:rsidRDefault="005D0458">
      <w:r w:rsidRPr="007A5F0E">
        <w:rPr>
          <w:rFonts w:ascii="Arial" w:hAnsi="Arial"/>
          <w:sz w:val="16"/>
        </w:rPr>
        <w:t>Source: ESG Data Platform — esg_</w:t>
      </w:r>
      <w:proofErr w:type="gramStart"/>
      <w:r w:rsidRPr="007A5F0E">
        <w:rPr>
          <w:rFonts w:ascii="Arial" w:hAnsi="Arial"/>
          <w:sz w:val="16"/>
        </w:rPr>
        <w:t>aggregated.pcaf</w:t>
      </w:r>
      <w:proofErr w:type="gramEnd"/>
      <w:r w:rsidRPr="007A5F0E">
        <w:rPr>
          <w:rFonts w:ascii="Arial" w:hAnsi="Arial"/>
          <w:sz w:val="16"/>
        </w:rPr>
        <w:t>_by_sector</w:t>
      </w:r>
    </w:p>
    <w:p w14:paraId="6A31AC15" w14:textId="77777777" w:rsidR="004842BC" w:rsidRPr="007A5F0E" w:rsidRDefault="004842BC"/>
    <w:p w14:paraId="0EA38DAE" w14:textId="77777777" w:rsidR="004842BC" w:rsidRPr="007A5F0E" w:rsidRDefault="005D0458">
      <w:r w:rsidRPr="007A5F0E">
        <w:rPr>
          <w:color w:val="3D6094"/>
          <w:sz w:val="18"/>
        </w:rPr>
        <w:t>Framework references: GRI 305-3a; GRI 305-3b; GRI 305-3d</w:t>
      </w:r>
    </w:p>
    <w:p w14:paraId="337EFCD7" w14:textId="77777777" w:rsidR="004842BC" w:rsidRPr="007A5F0E" w:rsidRDefault="004842BC">
      <w:pPr>
        <w:pBdr>
          <w:bottom w:val="single" w:sz="6" w:space="1" w:color="999999"/>
        </w:pBdr>
        <w:spacing w:after="80"/>
      </w:pPr>
    </w:p>
    <w:p w14:paraId="29B69987" w14:textId="77777777" w:rsidR="004842BC" w:rsidRPr="007A5F0E" w:rsidRDefault="005D0458">
      <w:pPr>
        <w:spacing w:after="160"/>
      </w:pPr>
      <w:r w:rsidRPr="007A5F0E">
        <w:rPr>
          <w:rFonts w:ascii="Arial" w:hAnsi="Arial"/>
          <w:color w:val="646464"/>
          <w:sz w:val="18"/>
        </w:rPr>
        <w:t>PCAF Global GHG Accounting Standard Part A (2022) applied for attribution</w:t>
      </w:r>
    </w:p>
    <w:p w14:paraId="5D2C8637" w14:textId="77777777" w:rsidR="004842BC" w:rsidRPr="007A5F0E" w:rsidRDefault="005D0458">
      <w:pPr>
        <w:spacing w:after="160"/>
      </w:pPr>
      <w:r w:rsidRPr="007A5F0E">
        <w:rPr>
          <w:rFonts w:ascii="Arial" w:hAnsi="Arial"/>
          <w:color w:val="646464"/>
          <w:sz w:val="18"/>
        </w:rPr>
        <w:t>Data quality score range: 1 (highest) to 5 (lowest)</w:t>
      </w:r>
    </w:p>
    <w:p w14:paraId="1025D256" w14:textId="77777777" w:rsidR="004842BC" w:rsidRPr="007A5F0E" w:rsidRDefault="005D0458">
      <w:r w:rsidRPr="007A5F0E">
        <w:br w:type="page"/>
      </w:r>
    </w:p>
    <w:p w14:paraId="1602E55E" w14:textId="77777777" w:rsidR="004842BC" w:rsidRPr="007A5F0E" w:rsidRDefault="005D0458">
      <w:pPr>
        <w:pStyle w:val="Heading1"/>
        <w:spacing w:after="240"/>
      </w:pPr>
      <w:bookmarkStart w:id="5" w:name="_Toc231546138"/>
      <w:r w:rsidRPr="007A5F0E">
        <w:rPr>
          <w:rFonts w:ascii="Arial" w:hAnsi="Arial"/>
          <w:color w:val="1B3A6B"/>
          <w:sz w:val="36"/>
        </w:rPr>
        <w:lastRenderedPageBreak/>
        <w:t>Appendix A: Methodology Notes</w:t>
      </w:r>
      <w:bookmarkEnd w:id="5"/>
    </w:p>
    <w:p w14:paraId="0825FC80" w14:textId="77777777" w:rsidR="004842BC" w:rsidRPr="007A5F0E" w:rsidRDefault="005D0458">
      <w:pPr>
        <w:spacing w:after="160"/>
      </w:pPr>
      <w:r w:rsidRPr="007A5F0E">
        <w:rPr>
          <w:rFonts w:ascii="Arial" w:hAnsi="Arial"/>
        </w:rPr>
        <w:t xml:space="preserve">This report </w:t>
      </w:r>
      <w:proofErr w:type="gramStart"/>
      <w:r w:rsidRPr="007A5F0E">
        <w:rPr>
          <w:rFonts w:ascii="Arial" w:hAnsi="Arial"/>
        </w:rPr>
        <w:t>applies</w:t>
      </w:r>
      <w:proofErr w:type="gramEnd"/>
      <w:r w:rsidRPr="007A5F0E">
        <w:rPr>
          <w:rFonts w:ascii="Arial" w:hAnsi="Arial"/>
        </w:rPr>
        <w:t xml:space="preserve"> the GHG Protocol Corporate Accounting and Reporting Standard (Revised 2015) for Scope 1 and 2 emissions, and the PCAF Global GHG Accounting and Reporting Standard Part A (2022) for Scope 3 Category 15 financed emissions. GWP values from IPCC AR6 (GWP100): CH4 = 29.8, N2O = 273.0.</w:t>
      </w:r>
    </w:p>
    <w:p w14:paraId="34547A91" w14:textId="77777777" w:rsidR="004842BC" w:rsidRPr="007A5F0E" w:rsidRDefault="005D0458">
      <w:pPr>
        <w:pStyle w:val="Heading1"/>
        <w:spacing w:after="240"/>
      </w:pPr>
      <w:bookmarkStart w:id="6" w:name="_Toc231546139"/>
      <w:r w:rsidRPr="007A5F0E">
        <w:rPr>
          <w:rFonts w:ascii="Arial" w:hAnsi="Arial"/>
          <w:color w:val="1B3A6B"/>
          <w:sz w:val="36"/>
        </w:rPr>
        <w:t>Appendix B: Data Quality Summary</w:t>
      </w:r>
      <w:bookmarkEnd w:id="6"/>
    </w:p>
    <w:p w14:paraId="27EECBC4" w14:textId="77777777" w:rsidR="004842BC" w:rsidRPr="007A5F0E" w:rsidRDefault="005D0458">
      <w:pPr>
        <w:spacing w:after="160"/>
      </w:pPr>
      <w:r w:rsidRPr="007A5F0E">
        <w:rPr>
          <w:rFonts w:ascii="Arial" w:hAnsi="Arial"/>
        </w:rPr>
        <w:t xml:space="preserve">Data quality is assessed </w:t>
      </w:r>
      <w:proofErr w:type="gramStart"/>
      <w:r w:rsidRPr="007A5F0E">
        <w:rPr>
          <w:rFonts w:ascii="Arial" w:hAnsi="Arial"/>
        </w:rPr>
        <w:t>per</w:t>
      </w:r>
      <w:proofErr w:type="gramEnd"/>
      <w:r w:rsidRPr="007A5F0E">
        <w:rPr>
          <w:rFonts w:ascii="Arial" w:hAnsi="Arial"/>
        </w:rPr>
        <w:t xml:space="preserve"> the PCAF data quality scoring framework (1-5) and the GHG Protocol data quality indicators. Portfolio-weighted PCAF score and data completeness percentage are reported in the main body.</w:t>
      </w:r>
    </w:p>
    <w:p w14:paraId="0F0BF5CC" w14:textId="77777777" w:rsidR="004842BC" w:rsidRPr="007A5F0E" w:rsidRDefault="005D0458">
      <w:pPr>
        <w:pStyle w:val="Heading1"/>
        <w:spacing w:after="240"/>
      </w:pPr>
      <w:bookmarkStart w:id="7" w:name="_Toc231546140"/>
      <w:r w:rsidRPr="007A5F0E">
        <w:rPr>
          <w:rFonts w:ascii="Arial" w:hAnsi="Arial"/>
          <w:color w:val="1B3A6B"/>
          <w:sz w:val="36"/>
        </w:rPr>
        <w:t>Appendix C: GRI Content Index</w:t>
      </w:r>
      <w:bookmarkEnd w:id="7"/>
    </w:p>
    <w:p w14:paraId="58E1538C" w14:textId="77777777" w:rsidR="004842BC" w:rsidRPr="007A5F0E" w:rsidRDefault="005D0458">
      <w:r w:rsidRPr="007A5F0E">
        <w:rPr>
          <w:rFonts w:ascii="Arial" w:hAnsi="Arial"/>
          <w:b/>
          <w:sz w:val="20"/>
        </w:rPr>
        <w:t>GRI Standards Content 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4842BC" w:rsidRPr="007A5F0E" w14:paraId="12CFACB1" w14:textId="77777777">
        <w:trPr>
          <w:jc w:val="center"/>
        </w:trPr>
        <w:tc>
          <w:tcPr>
            <w:tcW w:w="2257" w:type="dxa"/>
            <w:shd w:val="clear" w:color="auto" w:fill="1B3A6B"/>
          </w:tcPr>
          <w:p w14:paraId="574F03CA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GRI Standard</w:t>
            </w:r>
          </w:p>
        </w:tc>
        <w:tc>
          <w:tcPr>
            <w:tcW w:w="2257" w:type="dxa"/>
            <w:shd w:val="clear" w:color="auto" w:fill="1B3A6B"/>
          </w:tcPr>
          <w:p w14:paraId="0D5145BC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Disclosure</w:t>
            </w:r>
          </w:p>
        </w:tc>
        <w:tc>
          <w:tcPr>
            <w:tcW w:w="2257" w:type="dxa"/>
            <w:shd w:val="clear" w:color="auto" w:fill="1B3A6B"/>
          </w:tcPr>
          <w:p w14:paraId="01ECFF9D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Section Reference</w:t>
            </w:r>
          </w:p>
        </w:tc>
        <w:tc>
          <w:tcPr>
            <w:tcW w:w="2257" w:type="dxa"/>
            <w:shd w:val="clear" w:color="auto" w:fill="1B3A6B"/>
          </w:tcPr>
          <w:p w14:paraId="7C16D3FE" w14:textId="77777777" w:rsidR="004842BC" w:rsidRPr="007A5F0E" w:rsidRDefault="005D0458">
            <w:r w:rsidRPr="007A5F0E">
              <w:rPr>
                <w:rFonts w:ascii="Arial" w:hAnsi="Arial"/>
                <w:b/>
                <w:color w:val="FFFFFF"/>
                <w:sz w:val="18"/>
              </w:rPr>
              <w:t>Omission</w:t>
            </w:r>
          </w:p>
        </w:tc>
      </w:tr>
      <w:tr w:rsidR="004842BC" w:rsidRPr="007A5F0E" w14:paraId="3AAF0CB4" w14:textId="77777777">
        <w:trPr>
          <w:jc w:val="center"/>
        </w:trPr>
        <w:tc>
          <w:tcPr>
            <w:tcW w:w="2257" w:type="dxa"/>
          </w:tcPr>
          <w:p w14:paraId="4420BE9E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GRI 305-1</w:t>
            </w:r>
          </w:p>
        </w:tc>
        <w:tc>
          <w:tcPr>
            <w:tcW w:w="2257" w:type="dxa"/>
          </w:tcPr>
          <w:p w14:paraId="373D95B5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Direct (Scope 1) GHG emissions</w:t>
            </w:r>
          </w:p>
        </w:tc>
        <w:tc>
          <w:tcPr>
            <w:tcW w:w="2257" w:type="dxa"/>
          </w:tcPr>
          <w:p w14:paraId="50A50038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Section: Scope 1</w:t>
            </w:r>
          </w:p>
        </w:tc>
        <w:tc>
          <w:tcPr>
            <w:tcW w:w="2257" w:type="dxa"/>
          </w:tcPr>
          <w:p w14:paraId="65063869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None</w:t>
            </w:r>
          </w:p>
        </w:tc>
      </w:tr>
      <w:tr w:rsidR="004842BC" w:rsidRPr="007A5F0E" w14:paraId="59227EF1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68873931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GRI 305-2</w:t>
            </w:r>
          </w:p>
        </w:tc>
        <w:tc>
          <w:tcPr>
            <w:tcW w:w="2257" w:type="dxa"/>
            <w:shd w:val="clear" w:color="auto" w:fill="F2F6FC"/>
          </w:tcPr>
          <w:p w14:paraId="26AA0AE8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Energy indirect (Scope 2) GHG emissions</w:t>
            </w:r>
          </w:p>
        </w:tc>
        <w:tc>
          <w:tcPr>
            <w:tcW w:w="2257" w:type="dxa"/>
            <w:shd w:val="clear" w:color="auto" w:fill="F2F6FC"/>
          </w:tcPr>
          <w:p w14:paraId="647134A8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Section: Scope 2</w:t>
            </w:r>
          </w:p>
        </w:tc>
        <w:tc>
          <w:tcPr>
            <w:tcW w:w="2257" w:type="dxa"/>
            <w:shd w:val="clear" w:color="auto" w:fill="F2F6FC"/>
          </w:tcPr>
          <w:p w14:paraId="65FDEAB8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None</w:t>
            </w:r>
          </w:p>
        </w:tc>
      </w:tr>
      <w:tr w:rsidR="004842BC" w:rsidRPr="007A5F0E" w14:paraId="3425A7B7" w14:textId="77777777">
        <w:trPr>
          <w:jc w:val="center"/>
        </w:trPr>
        <w:tc>
          <w:tcPr>
            <w:tcW w:w="2257" w:type="dxa"/>
          </w:tcPr>
          <w:p w14:paraId="1B6CC52F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GRI 305-3</w:t>
            </w:r>
          </w:p>
        </w:tc>
        <w:tc>
          <w:tcPr>
            <w:tcW w:w="2257" w:type="dxa"/>
          </w:tcPr>
          <w:p w14:paraId="36D5698D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Other indirect (Scope 3) GHG emissions</w:t>
            </w:r>
          </w:p>
        </w:tc>
        <w:tc>
          <w:tcPr>
            <w:tcW w:w="2257" w:type="dxa"/>
          </w:tcPr>
          <w:p w14:paraId="343F1905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Section: PCAF</w:t>
            </w:r>
          </w:p>
        </w:tc>
        <w:tc>
          <w:tcPr>
            <w:tcW w:w="2257" w:type="dxa"/>
          </w:tcPr>
          <w:p w14:paraId="73AFA3A3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None</w:t>
            </w:r>
          </w:p>
        </w:tc>
      </w:tr>
      <w:tr w:rsidR="004842BC" w:rsidRPr="007A5F0E" w14:paraId="2CE21751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239FE8EE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GRI 305-4</w:t>
            </w:r>
          </w:p>
        </w:tc>
        <w:tc>
          <w:tcPr>
            <w:tcW w:w="2257" w:type="dxa"/>
            <w:shd w:val="clear" w:color="auto" w:fill="F2F6FC"/>
          </w:tcPr>
          <w:p w14:paraId="48B7B6F2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GHG emissions intensity</w:t>
            </w:r>
          </w:p>
        </w:tc>
        <w:tc>
          <w:tcPr>
            <w:tcW w:w="2257" w:type="dxa"/>
            <w:shd w:val="clear" w:color="auto" w:fill="F2F6FC"/>
          </w:tcPr>
          <w:p w14:paraId="4AF23C81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Section: Intensity</w:t>
            </w:r>
          </w:p>
        </w:tc>
        <w:tc>
          <w:tcPr>
            <w:tcW w:w="2257" w:type="dxa"/>
            <w:shd w:val="clear" w:color="auto" w:fill="F2F6FC"/>
          </w:tcPr>
          <w:p w14:paraId="4A07EB7E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None</w:t>
            </w:r>
          </w:p>
        </w:tc>
      </w:tr>
      <w:tr w:rsidR="004842BC" w:rsidRPr="007A5F0E" w14:paraId="66A5AE3A" w14:textId="77777777">
        <w:trPr>
          <w:jc w:val="center"/>
        </w:trPr>
        <w:tc>
          <w:tcPr>
            <w:tcW w:w="2257" w:type="dxa"/>
          </w:tcPr>
          <w:p w14:paraId="78A55065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GRI 305-5</w:t>
            </w:r>
          </w:p>
        </w:tc>
        <w:tc>
          <w:tcPr>
            <w:tcW w:w="2257" w:type="dxa"/>
          </w:tcPr>
          <w:p w14:paraId="790A27F3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Reduction of GHG emissions</w:t>
            </w:r>
          </w:p>
        </w:tc>
        <w:tc>
          <w:tcPr>
            <w:tcW w:w="2257" w:type="dxa"/>
          </w:tcPr>
          <w:p w14:paraId="15AB9FD3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Section: Reduction</w:t>
            </w:r>
          </w:p>
        </w:tc>
        <w:tc>
          <w:tcPr>
            <w:tcW w:w="2257" w:type="dxa"/>
          </w:tcPr>
          <w:p w14:paraId="741F0F95" w14:textId="77777777" w:rsidR="004842BC" w:rsidRPr="007A5F0E" w:rsidRDefault="005D0458">
            <w:r w:rsidRPr="007A5F0E">
              <w:rPr>
                <w:rFonts w:ascii="Arial" w:hAnsi="Arial"/>
                <w:sz w:val="18"/>
              </w:rPr>
              <w:t>Partial — targets in development</w:t>
            </w:r>
          </w:p>
        </w:tc>
      </w:tr>
    </w:tbl>
    <w:p w14:paraId="7D19E4DF" w14:textId="77777777" w:rsidR="004842BC" w:rsidRPr="007A5F0E" w:rsidRDefault="005D0458">
      <w:r w:rsidRPr="007A5F0E">
        <w:rPr>
          <w:rFonts w:ascii="Arial" w:hAnsi="Arial"/>
          <w:sz w:val="16"/>
        </w:rPr>
        <w:t>Source: GRI Standards 2021</w:t>
      </w:r>
    </w:p>
    <w:p w14:paraId="656E3E3D" w14:textId="77777777" w:rsidR="004842BC" w:rsidRPr="007A5F0E" w:rsidRDefault="004842BC"/>
    <w:sectPr w:rsidR="004842BC" w:rsidRPr="007A5F0E" w:rsidSect="00034616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AB5C" w14:textId="77777777" w:rsidR="005D0458" w:rsidRDefault="005D0458">
      <w:pPr>
        <w:spacing w:after="0" w:line="240" w:lineRule="auto"/>
      </w:pPr>
      <w:r>
        <w:separator/>
      </w:r>
    </w:p>
  </w:endnote>
  <w:endnote w:type="continuationSeparator" w:id="0">
    <w:p w14:paraId="0122F5AF" w14:textId="77777777" w:rsidR="005D0458" w:rsidRDefault="005D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FDB5" w14:textId="09B4964F" w:rsidR="004842BC" w:rsidRDefault="005D0458">
    <w:pPr>
      <w:pStyle w:val="Footer"/>
    </w:pPr>
    <w:r>
      <w:rPr>
        <w:rFonts w:ascii="Arial" w:hAnsi="Arial"/>
        <w:color w:val="808080"/>
        <w:sz w:val="18"/>
      </w:rPr>
      <w:t>ESG Report GRI_305 2024</w:t>
    </w:r>
    <w:r>
      <w:tab/>
    </w:r>
    <w:r>
      <w:tab/>
    </w: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4D37A9">
      <w:rPr>
        <w:color w:val="808080"/>
        <w:sz w:val="18"/>
      </w:rPr>
      <w:fldChar w:fldCharType="separate"/>
    </w:r>
    <w:r w:rsidR="004D37A9">
      <w:rPr>
        <w:noProof/>
        <w:color w:val="808080"/>
        <w:sz w:val="18"/>
      </w:rPr>
      <w:t>2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of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 w:rsidR="004D37A9">
      <w:rPr>
        <w:color w:val="808080"/>
        <w:sz w:val="18"/>
      </w:rPr>
      <w:fldChar w:fldCharType="separate"/>
    </w:r>
    <w:r w:rsidR="004D37A9">
      <w:rPr>
        <w:noProof/>
        <w:color w:val="808080"/>
        <w:sz w:val="18"/>
      </w:rPr>
      <w:t>3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6BE7" w14:textId="77777777" w:rsidR="005D0458" w:rsidRDefault="005D0458">
      <w:pPr>
        <w:spacing w:after="0" w:line="240" w:lineRule="auto"/>
      </w:pPr>
      <w:r>
        <w:separator/>
      </w:r>
    </w:p>
  </w:footnote>
  <w:footnote w:type="continuationSeparator" w:id="0">
    <w:p w14:paraId="155484AA" w14:textId="77777777" w:rsidR="005D0458" w:rsidRDefault="005D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5138" w14:textId="77777777" w:rsidR="004842BC" w:rsidRDefault="005D0458">
    <w:pPr>
      <w:pStyle w:val="Header"/>
      <w:jc w:val="right"/>
    </w:pPr>
    <w:r>
      <w:rPr>
        <w:rFonts w:ascii="Arial" w:hAnsi="Arial"/>
        <w:sz w:val="18"/>
      </w:rPr>
      <w:t>GENERIC_FI_001 | Reporting Year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451133">
    <w:abstractNumId w:val="8"/>
  </w:num>
  <w:num w:numId="2" w16cid:durableId="680089418">
    <w:abstractNumId w:val="6"/>
  </w:num>
  <w:num w:numId="3" w16cid:durableId="525215294">
    <w:abstractNumId w:val="5"/>
  </w:num>
  <w:num w:numId="4" w16cid:durableId="1921136884">
    <w:abstractNumId w:val="4"/>
  </w:num>
  <w:num w:numId="5" w16cid:durableId="1745226014">
    <w:abstractNumId w:val="7"/>
  </w:num>
  <w:num w:numId="6" w16cid:durableId="2044554147">
    <w:abstractNumId w:val="3"/>
  </w:num>
  <w:num w:numId="7" w16cid:durableId="345056814">
    <w:abstractNumId w:val="2"/>
  </w:num>
  <w:num w:numId="8" w16cid:durableId="2051345023">
    <w:abstractNumId w:val="1"/>
  </w:num>
  <w:num w:numId="9" w16cid:durableId="199101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2BC"/>
    <w:rsid w:val="004D37A9"/>
    <w:rsid w:val="005D0458"/>
    <w:rsid w:val="007A5F0E"/>
    <w:rsid w:val="00AA1D8D"/>
    <w:rsid w:val="00B47730"/>
    <w:rsid w:val="00CB0664"/>
    <w:rsid w:val="00DC5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4B82C8-D14B-420C-8D23-547FFA6C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A5F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5F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A5F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Sustainability Report 2024 - GRI_305</dc:title>
  <dc:subject>GHG Emissions Disclosure - GRI_305</dc:subject>
  <dc:creator>ESG Reporting System (GENERIC_FI_001)</dc:creator>
  <cp:keywords>ESG, GHG, GRI_305, 2024, PCAF, Scope1, Scope2, Scope3</cp:keywords>
  <dc:description>Generated by execution: test-assembly-001</dc:description>
  <cp:lastModifiedBy>Raditya Rahardyansyah Rifat</cp:lastModifiedBy>
  <cp:revision>3</cp:revision>
  <dcterms:created xsi:type="dcterms:W3CDTF">2013-12-23T23:15:00Z</dcterms:created>
  <dcterms:modified xsi:type="dcterms:W3CDTF">2026-06-05T03:02:00Z</dcterms:modified>
  <cp:category>ESG Sustainability Report</cp:category>
</cp:coreProperties>
</file>