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999999"/>
          <w:sz w:val="24"/>
        </w:rPr>
        <w:t>[INSTITUTION LOGO]</w:t>
      </w:r>
    </w:p>
    <w:p/>
    <w:p/>
    <w:p>
      <w:pPr>
        <w:pStyle w:val="Heading1"/>
        <w:keepNext/>
        <w:spacing w:before="480" w:after="240"/>
        <w:jc w:val="center"/>
      </w:pPr>
      <w:r>
        <w:rPr>
          <w:rFonts w:ascii="Arial" w:hAnsi="Arial"/>
          <w:b/>
          <w:color w:val="1B3A6B"/>
          <w:sz w:val="36"/>
        </w:rPr>
        <w:t>ESG Sustainability Report</w:t>
      </w:r>
    </w:p>
    <w:p>
      <w:pPr>
        <w:pStyle w:val="Heading2"/>
        <w:keepNext/>
        <w:spacing w:before="360" w:after="160"/>
        <w:jc w:val="center"/>
      </w:pPr>
      <w:r>
        <w:rPr>
          <w:rFonts w:ascii="Arial" w:hAnsi="Arial"/>
          <w:b/>
          <w:color w:val="3D6094"/>
          <w:sz w:val="28"/>
        </w:rPr>
        <w:t>Reporting Year 2024</w:t>
      </w:r>
    </w:p>
    <w:p/>
    <w:p>
      <w:pPr>
        <w:jc w:val="center"/>
      </w:pPr>
      <w:r>
        <w:rPr>
          <w:rFonts w:ascii="Arial" w:hAnsi="Arial"/>
          <w:sz w:val="22"/>
        </w:rPr>
        <w:t>Institution: GENERIC_FI_001</w:t>
      </w:r>
    </w:p>
    <w:p>
      <w:pPr>
        <w:jc w:val="center"/>
      </w:pPr>
      <w:r>
        <w:rPr>
          <w:rFonts w:ascii="Arial" w:hAnsi="Arial"/>
          <w:sz w:val="22"/>
        </w:rPr>
        <w:t>Framework: GRI_305</w:t>
      </w:r>
    </w:p>
    <w:p>
      <w:pPr>
        <w:jc w:val="center"/>
      </w:pPr>
      <w:r>
        <w:rPr>
          <w:rFonts w:ascii="Arial" w:hAnsi="Arial"/>
          <w:sz w:val="22"/>
        </w:rPr>
        <w:t>Generated: 2026-06-04 10:31 UTC</w:t>
      </w:r>
    </w:p>
    <w:p>
      <w:pPr>
        <w:jc w:val="center"/>
      </w:pPr>
      <w:r>
        <w:rPr>
          <w:rFonts w:ascii="Arial" w:hAnsi="Arial"/>
          <w:sz w:val="22"/>
        </w:rPr>
        <w:t>Status: DRAFT — Subject to Review</w:t>
      </w:r>
    </w:p>
    <w:p>
      <w:pPr>
        <w:jc w:val="center"/>
      </w:pPr>
      <w:r>
        <w:rPr>
          <w:rFonts w:ascii="Arial" w:hAnsi="Arial"/>
          <w:sz w:val="22"/>
        </w:rPr>
        <w:t>Assurance Level: None</w:t>
      </w:r>
    </w:p>
    <w:p/>
    <w:p/>
    <w:p>
      <w:pPr>
        <w:jc w:val="center"/>
      </w:pPr>
      <w:r>
        <w:rPr>
          <w:i/>
          <w:color w:val="993333"/>
          <w:sz w:val="18"/>
        </w:rPr>
        <w:t>CONFIDENTIAL — This document is for internal review purposes only. Do not distribute without authorization.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Arial" w:hAnsi="Arial"/>
          <w:b/>
          <w:color w:val="1B3A6B"/>
          <w:sz w:val="36"/>
        </w:rPr>
        <w:t>Table of Contents</w:t>
      </w:r>
    </w:p>
    <w:p>
      <w:r>
        <w:fldChar w:fldCharType="begin"/>
        <w:instrText xml:space="preserve"> TOC \o "1-3" \h \z \u </w:instrText>
        <w:fldChar w:fldCharType="end"/>
      </w:r>
    </w:p>
    <w:p>
      <w:r>
        <w:t>(Update this field in Word: Ctrl+A → F9)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Arial" w:hAnsi="Arial"/>
          <w:b/>
          <w:color w:val="1B3A6B"/>
          <w:sz w:val="36"/>
        </w:rPr>
        <w:t>Appendix A: Methodology Notes</w:t>
      </w:r>
    </w:p>
    <w:p>
      <w:pPr>
        <w:spacing w:after="160" w:line="276" w:lineRule="auto"/>
      </w:pPr>
      <w:r>
        <w:rPr>
          <w:rFonts w:ascii="Arial" w:hAnsi="Arial"/>
          <w:sz w:val="22"/>
        </w:rPr>
        <w:t>This report applies the GHG Protocol Corporate Accounting and Reporting Standard (Revised 2015) for Scope 1 and 2 emissions, and the PCAF Global GHG Accounting and Reporting Standard Part A (2022) for Scope 3 Category 15 financed emissions. GWP values from IPCC AR6 (GWP100): CH4 = 29.8, N2O = 273.0.</w:t>
      </w:r>
    </w:p>
    <w:p>
      <w:pPr>
        <w:pStyle w:val="Heading1"/>
        <w:keepNext/>
        <w:spacing w:before="480" w:after="240"/>
      </w:pPr>
      <w:r>
        <w:rPr>
          <w:rFonts w:ascii="Arial" w:hAnsi="Arial"/>
          <w:b/>
          <w:color w:val="1B3A6B"/>
          <w:sz w:val="36"/>
        </w:rPr>
        <w:t>Appendix B: Data Quality Summary</w:t>
      </w:r>
    </w:p>
    <w:p>
      <w:pPr>
        <w:spacing w:after="160" w:line="276" w:lineRule="auto"/>
      </w:pPr>
      <w:r>
        <w:rPr>
          <w:rFonts w:ascii="Arial" w:hAnsi="Arial"/>
          <w:sz w:val="22"/>
        </w:rPr>
        <w:t>Data quality is assessed per the PCAF data quality scoring framework (1-5) and the GHG Protocol data quality indicators. Portfolio-weighted PCAF score and data completeness percentage are reported in the main body.</w:t>
      </w:r>
    </w:p>
    <w:p>
      <w:pPr>
        <w:pStyle w:val="Heading1"/>
        <w:keepNext/>
        <w:spacing w:before="480" w:after="240"/>
      </w:pPr>
      <w:r>
        <w:rPr>
          <w:rFonts w:ascii="Arial" w:hAnsi="Arial"/>
          <w:b/>
          <w:color w:val="1B3A6B"/>
          <w:sz w:val="36"/>
        </w:rPr>
        <w:t>Appendix C: GRI Content Index</w:t>
      </w:r>
    </w:p>
    <w:p>
      <w:r>
        <w:rPr>
          <w:rFonts w:ascii="Arial" w:hAnsi="Arial"/>
          <w:b/>
          <w:sz w:val="20"/>
        </w:rPr>
        <w:t>GRI Standards Content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6B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GRI Standard</w:t>
            </w:r>
          </w:p>
        </w:tc>
        <w:tc>
          <w:tcPr>
            <w:tcW w:type="dxa" w:w="2257"/>
            <w:shd w:fill="1B3A6B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Disclosure</w:t>
            </w:r>
          </w:p>
        </w:tc>
        <w:tc>
          <w:tcPr>
            <w:tcW w:type="dxa" w:w="2257"/>
            <w:shd w:fill="1B3A6B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Section Reference</w:t>
            </w:r>
          </w:p>
        </w:tc>
        <w:tc>
          <w:tcPr>
            <w:tcW w:type="dxa" w:w="2257"/>
            <w:shd w:fill="1B3A6B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Omission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GRI 305-1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Direct (Scope 1) GHG emissions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Section: Scope 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GRI 305-2</w:t>
            </w:r>
          </w:p>
        </w:tc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Energy indirect (Scope 2) GHG emissions</w:t>
            </w:r>
          </w:p>
        </w:tc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Section: Scope 2</w:t>
            </w:r>
          </w:p>
        </w:tc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GRI 305-3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Other indirect (Scope 3) GHG emissions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Section: PCAF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GRI 305-4</w:t>
            </w:r>
          </w:p>
        </w:tc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GHG emissions intensity</w:t>
            </w:r>
          </w:p>
        </w:tc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Section: Intensity</w:t>
            </w:r>
          </w:p>
        </w:tc>
        <w:tc>
          <w:tcPr>
            <w:tcW w:type="dxa" w:w="2257"/>
            <w:shd w:fill="F2F6FC" w:val="clea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GRI 305-5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Reduction of GHG emissions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Section: Reduction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18"/>
              </w:rPr>
              <w:t>Partial — targets in development</w:t>
            </w:r>
          </w:p>
        </w:tc>
      </w:tr>
    </w:tbl>
    <w:p>
      <w:r>
        <w:rPr>
          <w:rFonts w:ascii="Arial" w:hAnsi="Arial"/>
          <w:i/>
          <w:sz w:val="16"/>
        </w:rPr>
        <w:t>Source: GRI Standards 2021</w:t>
      </w:r>
    </w:p>
    <w:p/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08080"/>
        <w:sz w:val="18"/>
      </w:rPr>
      <w:t>ESG Report GRI_305 2024</w:t>
    </w:r>
    <w:r>
      <w:tab/>
      <w:tab/>
    </w:r>
    <w:r>
      <w:rPr>
        <w:color w:val="808080"/>
        <w:sz w:val="18"/>
      </w:rPr>
      <w:t xml:space="preserve">Page </w:t>
    </w:r>
    <w:r>
      <w:rPr>
        <w:color w:val="808080"/>
        <w:sz w:val="18"/>
      </w:rPr>
      <w:fldChar w:fldCharType="begin"/>
      <w:instrText xml:space="preserve"> PAGE </w:instrText>
      <w:fldChar w:fldCharType="end"/>
    </w:r>
    <w:r>
      <w:rPr>
        <w:color w:val="808080"/>
        <w:sz w:val="18"/>
      </w:rPr>
      <w:t xml:space="preserve"> of </w:t>
    </w:r>
    <w:r>
      <w:rPr>
        <w:color w:val="808080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8"/>
      </w:rPr>
      <w:t>GENERIC_FI_001 | Reporting Year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 Sustainability Report 2024 - GRI_305</dc:title>
  <dc:subject>GHG Emissions Disclosure - GRI_305</dc:subject>
  <dc:creator>ESG Reporting System (GENERIC_FI_001)</dc:creator>
  <cp:keywords>ESG, GHG, GRI_305, 2024, PCAF, Scope1, Scope2, Scope3</cp:keywords>
  <dc:description>Generated by execution: arn:aws:states:us-east-1:061039769766:execution:ESGReportGenerationStateMachine:c01129ef-74d9-44f9-af2c-9a8b988ec26c</dc:description>
  <cp:lastModifiedBy/>
  <cp:revision>1</cp:revision>
  <dcterms:created xsi:type="dcterms:W3CDTF">2013-12-23T23:15:00Z</dcterms:created>
  <dcterms:modified xsi:type="dcterms:W3CDTF">2013-12-23T23:15:00Z</dcterms:modified>
  <cp:category>ESG Sustainability Report</cp:category>
</cp:coreProperties>
</file>