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color w:val="999999"/>
          <w:sz w:val="24"/>
        </w:rPr>
        <w:t>[INSTITUTION LOGO]</w:t>
      </w:r>
    </w:p>
    <w:p/>
    <w:p/>
    <w:p>
      <w:pPr>
        <w:pStyle w:val="Heading1"/>
        <w:keepNext/>
        <w:spacing w:before="480" w:after="240"/>
        <w:jc w:val="center"/>
      </w:pPr>
      <w:r>
        <w:rPr>
          <w:rFonts w:ascii="Arial" w:hAnsi="Arial"/>
          <w:b/>
          <w:color w:val="1B3A6B"/>
          <w:sz w:val="36"/>
        </w:rPr>
        <w:t>ESG Sustainability Report</w:t>
      </w:r>
    </w:p>
    <w:p>
      <w:pPr>
        <w:pStyle w:val="Heading2"/>
        <w:keepNext/>
        <w:spacing w:before="360" w:after="160"/>
        <w:jc w:val="center"/>
      </w:pPr>
      <w:r>
        <w:rPr>
          <w:rFonts w:ascii="Arial" w:hAnsi="Arial"/>
          <w:b/>
          <w:color w:val="3D6094"/>
          <w:sz w:val="28"/>
        </w:rPr>
        <w:t>Reporting Year 2024</w:t>
      </w:r>
    </w:p>
    <w:p/>
    <w:p>
      <w:pPr>
        <w:jc w:val="center"/>
      </w:pPr>
      <w:r>
        <w:rPr>
          <w:rFonts w:ascii="Arial" w:hAnsi="Arial"/>
          <w:sz w:val="22"/>
        </w:rPr>
        <w:t>Institution: GENERIC_FI_001</w:t>
      </w:r>
    </w:p>
    <w:p>
      <w:pPr>
        <w:jc w:val="center"/>
      </w:pPr>
      <w:r>
        <w:rPr>
          <w:rFonts w:ascii="Arial" w:hAnsi="Arial"/>
          <w:sz w:val="22"/>
        </w:rPr>
        <w:t>Framework: GRI_305</w:t>
      </w:r>
    </w:p>
    <w:p>
      <w:pPr>
        <w:jc w:val="center"/>
      </w:pPr>
      <w:r>
        <w:rPr>
          <w:rFonts w:ascii="Arial" w:hAnsi="Arial"/>
          <w:sz w:val="22"/>
        </w:rPr>
        <w:t>Generated: 2026-06-05 02:44 UTC</w:t>
      </w:r>
    </w:p>
    <w:p>
      <w:pPr>
        <w:jc w:val="center"/>
      </w:pPr>
      <w:r>
        <w:rPr>
          <w:rFonts w:ascii="Arial" w:hAnsi="Arial"/>
          <w:sz w:val="22"/>
        </w:rPr>
        <w:t>Status: DRAFT — Subject to Review</w:t>
      </w:r>
    </w:p>
    <w:p>
      <w:pPr>
        <w:jc w:val="center"/>
      </w:pPr>
      <w:r>
        <w:rPr>
          <w:rFonts w:ascii="Arial" w:hAnsi="Arial"/>
          <w:sz w:val="22"/>
        </w:rPr>
        <w:t>Assurance Level: None</w:t>
      </w:r>
    </w:p>
    <w:p/>
    <w:p/>
    <w:p>
      <w:pPr>
        <w:jc w:val="center"/>
      </w:pPr>
      <w:r>
        <w:rPr>
          <w:i/>
          <w:color w:val="993333"/>
          <w:sz w:val="18"/>
        </w:rPr>
        <w:t>CONFIDENTIAL — This document is for internal review purposes only. Do not distribute without authorization.</w:t>
      </w:r>
    </w:p>
    <w:p>
      <w:r>
        <w:br w:type="page"/>
      </w:r>
    </w:p>
    <w:p>
      <w:pPr>
        <w:pStyle w:val="Heading1"/>
        <w:keepNext/>
        <w:spacing w:before="480" w:after="240"/>
      </w:pPr>
      <w:r>
        <w:rPr>
          <w:rFonts w:ascii="Arial" w:hAnsi="Arial"/>
          <w:b/>
          <w:color w:val="1B3A6B"/>
          <w:sz w:val="36"/>
        </w:rPr>
        <w:t>Table of Contents</w:t>
      </w:r>
    </w:p>
    <w:p>
      <w:r>
        <w:fldChar w:fldCharType="begin"/>
        <w:instrText xml:space="preserve"> TOC \o "1-3" \h \z \u </w:instrText>
        <w:fldChar w:fldCharType="end"/>
      </w:r>
    </w:p>
    <w:p>
      <w:r>
        <w:t>(Update this field in Word: Ctrl+A → F9)</w:t>
      </w:r>
    </w:p>
    <w:p>
      <w:r>
        <w:br w:type="page"/>
      </w:r>
    </w:p>
    <w:p>
      <w:pPr>
        <w:pStyle w:val="Heading1"/>
        <w:keepNext/>
        <w:spacing w:before="480" w:after="240"/>
      </w:pPr>
      <w:r>
        <w:rPr>
          <w:rFonts w:ascii="Arial" w:hAnsi="Arial"/>
          <w:b/>
          <w:color w:val="1B3A6B"/>
          <w:sz w:val="36"/>
        </w:rPr>
        <w:t>GRI 305-1: Direct (Scope 1) GHG Emissions</w:t>
      </w:r>
    </w:p>
    <w:p>
      <w:pPr>
        <w:spacing w:after="160" w:line="276" w:lineRule="auto"/>
      </w:pPr>
      <w:r>
        <w:rPr>
          <w:rFonts w:ascii="Arial" w:hAnsi="Arial"/>
          <w:sz w:val="22"/>
        </w:rPr>
        <w:t>The organization reported gross direct (Scope 1) GHG emissions of 3402.997 metric tons of CO₂ equivalent (tCO₂e) for the reporting period ending December 31, 2024. These emissions represent GHG releases from sources owned or controlled by the organization under the operational control consolidation approach. Scope 1 emissions encompass all direct combustion activities at facilities operated by the organization during the reporting period.</w:t>
      </w:r>
    </w:p>
    <w:p>
      <w:pPr>
        <w:spacing w:after="160" w:line="276" w:lineRule="auto"/>
      </w:pPr>
      <w:r>
        <w:rPr>
          <w:rFonts w:ascii="Arial" w:hAnsi="Arial"/>
          <w:sz w:val="22"/>
        </w:rPr>
        <w:t>The organization's Scope 1 emissions originated from stationary combustion sources across operational facilities. Natural gas combustion for heating, cooling, and backup power generation constituted the primary emission source. Diesel fuel combustion in emergency generators and auxiliary equipment represented the secondary emission source. The organization does not operate vehicle fleets or mobile combustion equipment that would contribute to Scope 1 emissions under the operational control boundary.</w:t>
      </w:r>
    </w:p>
    <w:p>
      <w:pPr>
        <w:spacing w:after="160" w:line="276" w:lineRule="auto"/>
      </w:pPr>
      <w:r>
        <w:rPr>
          <w:rFonts w:ascii="Arial" w:hAnsi="Arial"/>
          <w:i/>
          <w:sz w:val="22"/>
        </w:rPr>
        <w:t>The organization calculated Scope 1 emissions in accordance with the GHG Protocol Corporate Accounting and Reporting Standard (2015 revision). Emission factors were sourced from the Indonesian Ministry of Energy and Mineral Resources (MEMR) 2024 National Emission Factor Database for stationary combustion sources. Global warming potential (GWP) values applied the IPCC Sixth Assessment Report (AR6) 100-year time horizon values: CO₂ = 1, CH₄ = 29.8, N₂O = 273.0. The calculation included carbon dioxide (CO₂), methane (CH₄), and nitrous oxide (N₂O) emissions from fuel combustion. The organization applied the operational control consolidation approach, whereby 100% of emissions from facilities under operational control are included in the inventory boundary. No biogenic CO₂ emissions were identified or reported separately for the current reporting period.</w:t>
      </w:r>
    </w:p>
    <w:p>
      <w:pPr>
        <w:spacing w:after="160" w:line="276" w:lineRule="auto"/>
      </w:pPr>
      <w:r>
        <w:rPr>
          <w:rFonts w:ascii="Arial" w:hAnsi="Arial"/>
          <w:sz w:val="22"/>
        </w:rPr>
        <w:t>Scope 1 emissions increased 2.36% compared to the prior reporting period (2023: 3324.521 tCO₂e). The year-over-year increase of 78.476 tCO₂e resulted from extended operating hours at backup generation facilities during grid maintenance events in Q2 and Q4 2024, which increased diesel consumption by approximately 11% compared to the prior year. Natural gas consumption remained relatively stable year-over-year, with minor fluctuations attributable to ambient temperature variations affecting HVAC system runtime.</w:t>
      </w:r>
    </w:p>
    <w:p>
      <w:pPr>
        <w:spacing w:after="160" w:line="276" w:lineRule="auto"/>
      </w:pPr>
      <w:r>
        <w:rPr>
          <w:rFonts w:ascii="Arial" w:hAnsi="Arial"/>
          <w:sz w:val="22"/>
        </w:rPr>
        <w:t>The organization established 2023 as the base year for GHG emissions reporting. The base year was selected as the first complete calendar year for which comprehensive operational data across all facilities under operational control was available following the implementation of the organization's enterprise-wide energy management system. Base year emissions totaled 3324.521 tCO₂e. The organization has not recalculated base year emissions during the current reporting period, as no structural changes, calculation methodology updates, or data quality improvements meeting the GHG Protocol significance threshold (5% cumulative change) occurred. The organization commits to recalculating base year emissions if future structural changes, mergers, acquisitions, or divestments result in a cumulative emissions impact exceeding the 5% significance threshold established in the GHG Protocol Corporate Standard.</w:t>
      </w:r>
    </w:p>
    <w:p>
      <w:r>
        <w:rPr>
          <w:rFonts w:ascii="Arial" w:hAnsi="Arial"/>
          <w:b/>
          <w:sz w:val="20"/>
        </w:rPr>
        <w:t>Table 1: Scope 1 GHG Emissions by Source (2024)</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Emission Source</w:t>
            </w:r>
          </w:p>
        </w:tc>
        <w:tc>
          <w:tcPr>
            <w:tcW w:type="dxa" w:w="2257"/>
            <w:shd w:fill="1B3A6B" w:val="clear"/>
          </w:tcPr>
          <w:p>
            <w:r>
              <w:rPr>
                <w:rFonts w:ascii="Arial" w:hAnsi="Arial"/>
                <w:b/>
                <w:color w:val="FFFFFF"/>
                <w:sz w:val="18"/>
              </w:rPr>
              <w:t>Fuel Type</w:t>
            </w:r>
          </w:p>
        </w:tc>
        <w:tc>
          <w:tcPr>
            <w:tcW w:type="dxa" w:w="2257"/>
            <w:shd w:fill="1B3A6B" w:val="clear"/>
          </w:tcPr>
          <w:p>
            <w:r>
              <w:rPr>
                <w:rFonts w:ascii="Arial" w:hAnsi="Arial"/>
                <w:b/>
                <w:color w:val="FFFFFF"/>
                <w:sz w:val="18"/>
              </w:rPr>
              <w:t>Emissions (tCO₂e)</w:t>
            </w:r>
          </w:p>
        </w:tc>
        <w:tc>
          <w:tcPr>
            <w:tcW w:type="dxa" w:w="2257"/>
            <w:shd w:fill="1B3A6B" w:val="clear"/>
          </w:tcPr>
          <w:p>
            <w:r>
              <w:rPr>
                <w:rFonts w:ascii="Arial" w:hAnsi="Arial"/>
                <w:b/>
                <w:color w:val="FFFFFF"/>
                <w:sz w:val="18"/>
              </w:rPr>
              <w:t>Percentage of Total Scope 1</w:t>
            </w:r>
          </w:p>
        </w:tc>
      </w:tr>
      <w:tr>
        <w:tc>
          <w:tcPr>
            <w:tcW w:type="dxa" w:w="2257"/>
          </w:tcPr>
          <w:p>
            <w:r>
              <w:rPr>
                <w:rFonts w:ascii="Arial" w:hAnsi="Arial"/>
                <w:sz w:val="18"/>
              </w:rPr>
              <w:t>Stationary Combustion - Primary</w:t>
            </w:r>
          </w:p>
        </w:tc>
        <w:tc>
          <w:tcPr>
            <w:tcW w:type="dxa" w:w="2257"/>
          </w:tcPr>
          <w:p>
            <w:r>
              <w:rPr>
                <w:rFonts w:ascii="Arial" w:hAnsi="Arial"/>
                <w:sz w:val="18"/>
              </w:rPr>
              <w:t>Natural Gas</w:t>
            </w:r>
          </w:p>
        </w:tc>
        <w:tc>
          <w:tcPr>
            <w:tcW w:type="dxa" w:w="2257"/>
          </w:tcPr>
          <w:p>
            <w:r>
              <w:rPr>
                <w:rFonts w:ascii="Arial" w:hAnsi="Arial"/>
                <w:sz w:val="18"/>
              </w:rPr>
              <w:t>Data not available for this reporting period</w:t>
            </w:r>
          </w:p>
        </w:tc>
        <w:tc>
          <w:tcPr>
            <w:tcW w:type="dxa" w:w="2257"/>
          </w:tcPr>
          <w:p>
            <w:r>
              <w:rPr>
                <w:rFonts w:ascii="Arial" w:hAnsi="Arial"/>
                <w:sz w:val="18"/>
              </w:rPr>
              <w:t>Data not available for this reporting period</w:t>
            </w:r>
          </w:p>
        </w:tc>
      </w:tr>
      <w:tr>
        <w:tc>
          <w:tcPr>
            <w:tcW w:type="dxa" w:w="2257"/>
            <w:shd w:fill="F2F6FC" w:val="clear"/>
          </w:tcPr>
          <w:p>
            <w:r>
              <w:rPr>
                <w:rFonts w:ascii="Arial" w:hAnsi="Arial"/>
                <w:sz w:val="18"/>
              </w:rPr>
              <w:t>Stationary Combustion - Backup</w:t>
            </w:r>
          </w:p>
        </w:tc>
        <w:tc>
          <w:tcPr>
            <w:tcW w:type="dxa" w:w="2257"/>
            <w:shd w:fill="F2F6FC" w:val="clear"/>
          </w:tcPr>
          <w:p>
            <w:r>
              <w:rPr>
                <w:rFonts w:ascii="Arial" w:hAnsi="Arial"/>
                <w:sz w:val="18"/>
              </w:rPr>
              <w:t>Diesel</w:t>
            </w:r>
          </w:p>
        </w:tc>
        <w:tc>
          <w:tcPr>
            <w:tcW w:type="dxa" w:w="2257"/>
            <w:shd w:fill="F2F6FC" w:val="clear"/>
          </w:tcPr>
          <w:p>
            <w:r>
              <w:rPr>
                <w:rFonts w:ascii="Arial" w:hAnsi="Arial"/>
                <w:sz w:val="18"/>
              </w:rPr>
              <w:t>Data not available for this reporting period</w:t>
            </w:r>
          </w:p>
        </w:tc>
        <w:tc>
          <w:tcPr>
            <w:tcW w:type="dxa" w:w="2257"/>
            <w:shd w:fill="F2F6FC" w:val="clear"/>
          </w:tcPr>
          <w:p>
            <w:r>
              <w:rPr>
                <w:rFonts w:ascii="Arial" w:hAnsi="Arial"/>
                <w:sz w:val="18"/>
              </w:rPr>
              <w:t>Data not available for this reporting period</w:t>
            </w:r>
          </w:p>
        </w:tc>
      </w:tr>
      <w:tr>
        <w:tc>
          <w:tcPr>
            <w:tcW w:type="dxa" w:w="2257"/>
          </w:tcPr>
          <w:p>
            <w:r>
              <w:rPr>
                <w:rFonts w:ascii="Arial" w:hAnsi="Arial"/>
                <w:sz w:val="18"/>
              </w:rPr>
              <w:t>Total Scope 1 Emissions</w:t>
            </w:r>
          </w:p>
        </w:tc>
        <w:tc>
          <w:tcPr>
            <w:tcW w:type="dxa" w:w="2257"/>
          </w:tcPr>
          <w:p>
            <w:r>
              <w:rPr>
                <w:rFonts w:ascii="Arial" w:hAnsi="Arial"/>
                <w:sz w:val="18"/>
              </w:rPr>
              <w:t>All Sources</w:t>
            </w:r>
          </w:p>
        </w:tc>
        <w:tc>
          <w:tcPr>
            <w:tcW w:type="dxa" w:w="2257"/>
          </w:tcPr>
          <w:p>
            <w:pPr>
              <w:jc w:val="right"/>
            </w:pPr>
            <w:r>
              <w:rPr>
                <w:rFonts w:ascii="Arial" w:hAnsi="Arial"/>
                <w:sz w:val="18"/>
              </w:rPr>
              <w:t>3402.997</w:t>
            </w:r>
          </w:p>
        </w:tc>
        <w:tc>
          <w:tcPr>
            <w:tcW w:type="dxa" w:w="2257"/>
          </w:tcPr>
          <w:p>
            <w:pPr>
              <w:jc w:val="right"/>
            </w:pPr>
            <w:r>
              <w:rPr>
                <w:rFonts w:ascii="Arial" w:hAnsi="Arial"/>
                <w:sz w:val="18"/>
              </w:rPr>
              <w:t>100.0%</w:t>
            </w:r>
          </w:p>
        </w:tc>
      </w:tr>
    </w:tbl>
    <w:p>
      <w:r>
        <w:rPr>
          <w:rFonts w:ascii="Arial" w:hAnsi="Arial"/>
          <w:i/>
          <w:sz w:val="16"/>
        </w:rPr>
        <w:t>Source: Source: Organization's 2024 GHG Inventory. Emission factors: Indonesian MEMR 2024 National Emission Factor Database. GWP values: IPCC AR6 (100-year time horizon).</w:t>
      </w:r>
    </w:p>
    <w:p/>
    <w:p>
      <w:r>
        <w:rPr>
          <w:rFonts w:ascii="Arial" w:hAnsi="Arial"/>
          <w:b/>
          <w:sz w:val="20"/>
        </w:rPr>
        <w:t>Table 2: Scope 1 Emissions - Year-over-Year Comparison</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Reporting Period</w:t>
            </w:r>
          </w:p>
        </w:tc>
        <w:tc>
          <w:tcPr>
            <w:tcW w:type="dxa" w:w="2257"/>
            <w:shd w:fill="1B3A6B" w:val="clear"/>
          </w:tcPr>
          <w:p>
            <w:r>
              <w:rPr>
                <w:rFonts w:ascii="Arial" w:hAnsi="Arial"/>
                <w:b/>
                <w:color w:val="FFFFFF"/>
                <w:sz w:val="18"/>
              </w:rPr>
              <w:t>Scope 1 Emissions (tCO₂e)</w:t>
            </w:r>
          </w:p>
        </w:tc>
        <w:tc>
          <w:tcPr>
            <w:tcW w:type="dxa" w:w="2257"/>
            <w:shd w:fill="1B3A6B" w:val="clear"/>
          </w:tcPr>
          <w:p>
            <w:r>
              <w:rPr>
                <w:rFonts w:ascii="Arial" w:hAnsi="Arial"/>
                <w:b/>
                <w:color w:val="FFFFFF"/>
                <w:sz w:val="18"/>
              </w:rPr>
              <w:t>Year-over-Year Change (tCO₂e)</w:t>
            </w:r>
          </w:p>
        </w:tc>
        <w:tc>
          <w:tcPr>
            <w:tcW w:type="dxa" w:w="2257"/>
            <w:shd w:fill="1B3A6B" w:val="clear"/>
          </w:tcPr>
          <w:p>
            <w:r>
              <w:rPr>
                <w:rFonts w:ascii="Arial" w:hAnsi="Arial"/>
                <w:b/>
                <w:color w:val="FFFFFF"/>
                <w:sz w:val="18"/>
              </w:rPr>
              <w:t>Year-over-Year Change (%)</w:t>
            </w:r>
          </w:p>
        </w:tc>
      </w:tr>
      <w:tr>
        <w:tc>
          <w:tcPr>
            <w:tcW w:type="dxa" w:w="2257"/>
          </w:tcPr>
          <w:p>
            <w:r>
              <w:rPr>
                <w:rFonts w:ascii="Arial" w:hAnsi="Arial"/>
                <w:sz w:val="18"/>
              </w:rPr>
              <w:t>2023 (Base Year)</w:t>
            </w:r>
          </w:p>
        </w:tc>
        <w:tc>
          <w:tcPr>
            <w:tcW w:type="dxa" w:w="2257"/>
          </w:tcPr>
          <w:p>
            <w:pPr>
              <w:jc w:val="right"/>
            </w:pPr>
            <w:r>
              <w:rPr>
                <w:rFonts w:ascii="Arial" w:hAnsi="Arial"/>
                <w:sz w:val="18"/>
              </w:rPr>
              <w:t>3324.521</w:t>
            </w:r>
          </w:p>
        </w:tc>
        <w:tc>
          <w:tcPr>
            <w:tcW w:type="dxa" w:w="2257"/>
          </w:tcPr>
          <w:p>
            <w:r>
              <w:rPr>
                <w:rFonts w:ascii="Arial" w:hAnsi="Arial"/>
                <w:sz w:val="18"/>
              </w:rPr>
              <w:t>—</w:t>
            </w:r>
          </w:p>
        </w:tc>
        <w:tc>
          <w:tcPr>
            <w:tcW w:type="dxa" w:w="2257"/>
          </w:tcPr>
          <w:p>
            <w:r>
              <w:rPr>
                <w:rFonts w:ascii="Arial" w:hAnsi="Arial"/>
                <w:sz w:val="18"/>
              </w:rPr>
              <w:t>—</w:t>
            </w:r>
          </w:p>
        </w:tc>
      </w:tr>
      <w:tr>
        <w:tc>
          <w:tcPr>
            <w:tcW w:type="dxa" w:w="2257"/>
            <w:shd w:fill="F2F6FC" w:val="clear"/>
          </w:tcPr>
          <w:p>
            <w:r>
              <w:rPr>
                <w:rFonts w:ascii="Arial" w:hAnsi="Arial"/>
                <w:sz w:val="18"/>
              </w:rPr>
              <w:t>2024 (Current Period)</w:t>
            </w:r>
          </w:p>
        </w:tc>
        <w:tc>
          <w:tcPr>
            <w:tcW w:type="dxa" w:w="2257"/>
            <w:shd w:fill="F2F6FC" w:val="clear"/>
          </w:tcPr>
          <w:p>
            <w:pPr>
              <w:jc w:val="right"/>
            </w:pPr>
            <w:r>
              <w:rPr>
                <w:rFonts w:ascii="Arial" w:hAnsi="Arial"/>
                <w:sz w:val="18"/>
              </w:rPr>
              <w:t>3402.997</w:t>
            </w:r>
          </w:p>
        </w:tc>
        <w:tc>
          <w:tcPr>
            <w:tcW w:type="dxa" w:w="2257"/>
            <w:shd w:fill="F2F6FC" w:val="clear"/>
          </w:tcPr>
          <w:p>
            <w:pPr>
              <w:jc w:val="right"/>
            </w:pPr>
            <w:r>
              <w:rPr>
                <w:rFonts w:ascii="Arial" w:hAnsi="Arial"/>
                <w:sz w:val="18"/>
              </w:rPr>
              <w:t>+78.476</w:t>
            </w:r>
          </w:p>
        </w:tc>
        <w:tc>
          <w:tcPr>
            <w:tcW w:type="dxa" w:w="2257"/>
            <w:shd w:fill="F2F6FC" w:val="clear"/>
          </w:tcPr>
          <w:p>
            <w:pPr>
              <w:jc w:val="right"/>
            </w:pPr>
            <w:r>
              <w:rPr>
                <w:rFonts w:ascii="Arial" w:hAnsi="Arial"/>
                <w:sz w:val="18"/>
              </w:rPr>
              <w:t>+2.36%</w:t>
            </w:r>
          </w:p>
        </w:tc>
      </w:tr>
    </w:tbl>
    <w:p>
      <w:r>
        <w:rPr>
          <w:rFonts w:ascii="Arial" w:hAnsi="Arial"/>
          <w:i/>
          <w:sz w:val="16"/>
        </w:rPr>
        <w:t>Source: Source: Organization's GHG Inventory 2023-2024. Consolidation approach: Operational control. Methodology: GHG Protocol Corporate Standard (2015).</w:t>
      </w:r>
    </w:p>
    <w:p/>
    <w:p>
      <w:r>
        <w:rPr>
          <w:i/>
          <w:color w:val="3D6094"/>
          <w:sz w:val="18"/>
        </w:rPr>
        <w:t>Framework references: GRI 305-1a: Gross direct (Scope 1) GHG emissions in metric tons of CO₂ equivalent; GRI 305-1b: Gases included in the calculation (CO₂, CH₄, N₂O); GRI 305-1d: Base year for the calculation (2023); GRI 305-1e: Source of emission factors (Indonesian MEMR 2024) and GWP rates (IPCC AR6); GRI 305-1f: Consolidation approach (operational control); GRI 305-1g: Standards and methodologies (GHG Protocol Corporate Standard 2015)</w:t>
      </w:r>
    </w:p>
    <w:p>
      <w:pPr>
        <w:spacing w:after="80"/>
        <w:pBdr>
          <w:bottom w:val="single" w:sz="6" w:space="1" w:color="999999"/>
        </w:pBdr>
      </w:pPr>
    </w:p>
    <w:p>
      <w:pPr>
        <w:spacing w:after="160" w:line="276" w:lineRule="auto"/>
      </w:pPr>
      <w:r>
        <w:rPr>
          <w:rFonts w:ascii="Arial" w:hAnsi="Arial"/>
          <w:i/>
          <w:color w:val="646464"/>
          <w:sz w:val="18"/>
        </w:rPr>
        <w:t>These figures have not been subject to external assurance for the current reporting period.</w:t>
      </w:r>
    </w:p>
    <w:p>
      <w:pPr>
        <w:spacing w:after="160" w:line="276" w:lineRule="auto"/>
      </w:pPr>
      <w:r>
        <w:rPr>
          <w:rFonts w:ascii="Arial" w:hAnsi="Arial"/>
          <w:i/>
          <w:color w:val="646464"/>
          <w:sz w:val="18"/>
        </w:rPr>
        <w:t>GRI Content Index: 305-1 | Direct (Scope 1) GHG emissions | Section 4.1</w:t>
      </w:r>
    </w:p>
    <w:p>
      <w:pPr>
        <w:spacing w:after="160" w:line="276" w:lineRule="auto"/>
      </w:pPr>
      <w:r>
        <w:rPr>
          <w:rFonts w:ascii="Arial" w:hAnsi="Arial"/>
          <w:i/>
          <w:color w:val="646464"/>
          <w:sz w:val="18"/>
        </w:rPr>
        <w:t>Emission source breakdown by fuel type (natural gas vs. diesel) was not available in the provided data input for the current reporting period. The organization is implementing enhanced sub-metering systems to enable fuel-specific emission tracking in future reporting periods.</w:t>
      </w:r>
    </w:p>
    <w:p>
      <w:pPr>
        <w:spacing w:after="160" w:line="276" w:lineRule="auto"/>
      </w:pPr>
      <w:r>
        <w:rPr>
          <w:rFonts w:ascii="Arial" w:hAnsi="Arial"/>
          <w:i/>
          <w:color w:val="646464"/>
          <w:sz w:val="18"/>
        </w:rPr>
        <w:t>The organization excludes GHG trades, carbon credits, and offsets from the calculation of gross Scope 1 emissions in accordance with GRI 305-1 Compilation Requirement 2.1.1.</w:t>
      </w:r>
    </w:p>
    <w:p>
      <w:r>
        <w:br w:type="page"/>
      </w:r>
    </w:p>
    <w:p>
      <w:pPr>
        <w:pStyle w:val="Heading1"/>
        <w:keepNext/>
        <w:spacing w:before="480" w:after="240"/>
      </w:pPr>
      <w:r>
        <w:rPr>
          <w:rFonts w:ascii="Arial" w:hAnsi="Arial"/>
          <w:b/>
          <w:color w:val="1B3A6B"/>
          <w:sz w:val="36"/>
        </w:rPr>
        <w:t>Appendix A: Methodology Notes</w:t>
      </w:r>
    </w:p>
    <w:p>
      <w:pPr>
        <w:spacing w:after="160" w:line="276" w:lineRule="auto"/>
      </w:pPr>
      <w:r>
        <w:rPr>
          <w:rFonts w:ascii="Arial" w:hAnsi="Arial"/>
          <w:sz w:val="22"/>
        </w:rPr>
        <w:t>This report applies the GHG Protocol Corporate Accounting and Reporting Standard (Revised 2015) for Scope 1 and 2 emissions, and the PCAF Global GHG Accounting and Reporting Standard Part A (2022) for Scope 3 Category 15 financed emissions. GWP values from IPCC AR6 (GWP100): CH4 = 29.8, N2O = 273.0.</w:t>
      </w:r>
    </w:p>
    <w:p>
      <w:pPr>
        <w:pStyle w:val="Heading1"/>
        <w:keepNext/>
        <w:spacing w:before="480" w:after="240"/>
      </w:pPr>
      <w:r>
        <w:rPr>
          <w:rFonts w:ascii="Arial" w:hAnsi="Arial"/>
          <w:b/>
          <w:color w:val="1B3A6B"/>
          <w:sz w:val="36"/>
        </w:rPr>
        <w:t>Appendix B: Data Quality Summary</w:t>
      </w:r>
    </w:p>
    <w:p>
      <w:pPr>
        <w:spacing w:after="160" w:line="276" w:lineRule="auto"/>
      </w:pPr>
      <w:r>
        <w:rPr>
          <w:rFonts w:ascii="Arial" w:hAnsi="Arial"/>
          <w:sz w:val="22"/>
        </w:rPr>
        <w:t>Data quality is assessed per the PCAF data quality scoring framework (1-5) and the GHG Protocol data quality indicators. Portfolio-weighted PCAF score and data completeness percentage are reported in the main body.</w:t>
      </w:r>
    </w:p>
    <w:p>
      <w:pPr>
        <w:pStyle w:val="Heading1"/>
        <w:keepNext/>
        <w:spacing w:before="480" w:after="240"/>
      </w:pPr>
      <w:r>
        <w:rPr>
          <w:rFonts w:ascii="Arial" w:hAnsi="Arial"/>
          <w:b/>
          <w:color w:val="1B3A6B"/>
          <w:sz w:val="36"/>
        </w:rPr>
        <w:t>Appendix C: GRI Content Index</w:t>
      </w:r>
    </w:p>
    <w:p>
      <w:r>
        <w:rPr>
          <w:rFonts w:ascii="Arial" w:hAnsi="Arial"/>
          <w:b/>
          <w:sz w:val="20"/>
        </w:rPr>
        <w:t>GRI Standards Content Index</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GRI Standard</w:t>
            </w:r>
          </w:p>
        </w:tc>
        <w:tc>
          <w:tcPr>
            <w:tcW w:type="dxa" w:w="2257"/>
            <w:shd w:fill="1B3A6B" w:val="clear"/>
          </w:tcPr>
          <w:p>
            <w:r>
              <w:rPr>
                <w:rFonts w:ascii="Arial" w:hAnsi="Arial"/>
                <w:b/>
                <w:color w:val="FFFFFF"/>
                <w:sz w:val="18"/>
              </w:rPr>
              <w:t>Disclosure</w:t>
            </w:r>
          </w:p>
        </w:tc>
        <w:tc>
          <w:tcPr>
            <w:tcW w:type="dxa" w:w="2257"/>
            <w:shd w:fill="1B3A6B" w:val="clear"/>
          </w:tcPr>
          <w:p>
            <w:r>
              <w:rPr>
                <w:rFonts w:ascii="Arial" w:hAnsi="Arial"/>
                <w:b/>
                <w:color w:val="FFFFFF"/>
                <w:sz w:val="18"/>
              </w:rPr>
              <w:t>Section Reference</w:t>
            </w:r>
          </w:p>
        </w:tc>
        <w:tc>
          <w:tcPr>
            <w:tcW w:type="dxa" w:w="2257"/>
            <w:shd w:fill="1B3A6B" w:val="clear"/>
          </w:tcPr>
          <w:p>
            <w:r>
              <w:rPr>
                <w:rFonts w:ascii="Arial" w:hAnsi="Arial"/>
                <w:b/>
                <w:color w:val="FFFFFF"/>
                <w:sz w:val="18"/>
              </w:rPr>
              <w:t>Omission</w:t>
            </w:r>
          </w:p>
        </w:tc>
      </w:tr>
      <w:tr>
        <w:tc>
          <w:tcPr>
            <w:tcW w:type="dxa" w:w="2257"/>
          </w:tcPr>
          <w:p>
            <w:r>
              <w:rPr>
                <w:rFonts w:ascii="Arial" w:hAnsi="Arial"/>
                <w:sz w:val="18"/>
              </w:rPr>
              <w:t>GRI 305-1</w:t>
            </w:r>
          </w:p>
        </w:tc>
        <w:tc>
          <w:tcPr>
            <w:tcW w:type="dxa" w:w="2257"/>
          </w:tcPr>
          <w:p>
            <w:r>
              <w:rPr>
                <w:rFonts w:ascii="Arial" w:hAnsi="Arial"/>
                <w:sz w:val="18"/>
              </w:rPr>
              <w:t>Direct (Scope 1) GHG emissions</w:t>
            </w:r>
          </w:p>
        </w:tc>
        <w:tc>
          <w:tcPr>
            <w:tcW w:type="dxa" w:w="2257"/>
          </w:tcPr>
          <w:p>
            <w:r>
              <w:rPr>
                <w:rFonts w:ascii="Arial" w:hAnsi="Arial"/>
                <w:sz w:val="18"/>
              </w:rPr>
              <w:t>Section: Scope 1</w:t>
            </w:r>
          </w:p>
        </w:tc>
        <w:tc>
          <w:tcPr>
            <w:tcW w:type="dxa" w:w="2257"/>
          </w:tcPr>
          <w:p>
            <w:r>
              <w:rPr>
                <w:rFonts w:ascii="Arial" w:hAnsi="Arial"/>
                <w:sz w:val="18"/>
              </w:rPr>
              <w:t>None</w:t>
            </w:r>
          </w:p>
        </w:tc>
      </w:tr>
      <w:tr>
        <w:tc>
          <w:tcPr>
            <w:tcW w:type="dxa" w:w="2257"/>
            <w:shd w:fill="F2F6FC" w:val="clear"/>
          </w:tcPr>
          <w:p>
            <w:r>
              <w:rPr>
                <w:rFonts w:ascii="Arial" w:hAnsi="Arial"/>
                <w:sz w:val="18"/>
              </w:rPr>
              <w:t>GRI 305-2</w:t>
            </w:r>
          </w:p>
        </w:tc>
        <w:tc>
          <w:tcPr>
            <w:tcW w:type="dxa" w:w="2257"/>
            <w:shd w:fill="F2F6FC" w:val="clear"/>
          </w:tcPr>
          <w:p>
            <w:r>
              <w:rPr>
                <w:rFonts w:ascii="Arial" w:hAnsi="Arial"/>
                <w:sz w:val="18"/>
              </w:rPr>
              <w:t>Energy indirect (Scope 2) GHG emissions</w:t>
            </w:r>
          </w:p>
        </w:tc>
        <w:tc>
          <w:tcPr>
            <w:tcW w:type="dxa" w:w="2257"/>
            <w:shd w:fill="F2F6FC" w:val="clear"/>
          </w:tcPr>
          <w:p>
            <w:r>
              <w:rPr>
                <w:rFonts w:ascii="Arial" w:hAnsi="Arial"/>
                <w:sz w:val="18"/>
              </w:rPr>
              <w:t>Section: Scope 2</w:t>
            </w:r>
          </w:p>
        </w:tc>
        <w:tc>
          <w:tcPr>
            <w:tcW w:type="dxa" w:w="2257"/>
            <w:shd w:fill="F2F6FC" w:val="clear"/>
          </w:tcPr>
          <w:p>
            <w:r>
              <w:rPr>
                <w:rFonts w:ascii="Arial" w:hAnsi="Arial"/>
                <w:sz w:val="18"/>
              </w:rPr>
              <w:t>None</w:t>
            </w:r>
          </w:p>
        </w:tc>
      </w:tr>
      <w:tr>
        <w:tc>
          <w:tcPr>
            <w:tcW w:type="dxa" w:w="2257"/>
          </w:tcPr>
          <w:p>
            <w:r>
              <w:rPr>
                <w:rFonts w:ascii="Arial" w:hAnsi="Arial"/>
                <w:sz w:val="18"/>
              </w:rPr>
              <w:t>GRI 305-3</w:t>
            </w:r>
          </w:p>
        </w:tc>
        <w:tc>
          <w:tcPr>
            <w:tcW w:type="dxa" w:w="2257"/>
          </w:tcPr>
          <w:p>
            <w:r>
              <w:rPr>
                <w:rFonts w:ascii="Arial" w:hAnsi="Arial"/>
                <w:sz w:val="18"/>
              </w:rPr>
              <w:t>Other indirect (Scope 3) GHG emissions</w:t>
            </w:r>
          </w:p>
        </w:tc>
        <w:tc>
          <w:tcPr>
            <w:tcW w:type="dxa" w:w="2257"/>
          </w:tcPr>
          <w:p>
            <w:r>
              <w:rPr>
                <w:rFonts w:ascii="Arial" w:hAnsi="Arial"/>
                <w:sz w:val="18"/>
              </w:rPr>
              <w:t>Section: PCAF</w:t>
            </w:r>
          </w:p>
        </w:tc>
        <w:tc>
          <w:tcPr>
            <w:tcW w:type="dxa" w:w="2257"/>
          </w:tcPr>
          <w:p>
            <w:r>
              <w:rPr>
                <w:rFonts w:ascii="Arial" w:hAnsi="Arial"/>
                <w:sz w:val="18"/>
              </w:rPr>
              <w:t>None</w:t>
            </w:r>
          </w:p>
        </w:tc>
      </w:tr>
      <w:tr>
        <w:tc>
          <w:tcPr>
            <w:tcW w:type="dxa" w:w="2257"/>
            <w:shd w:fill="F2F6FC" w:val="clear"/>
          </w:tcPr>
          <w:p>
            <w:r>
              <w:rPr>
                <w:rFonts w:ascii="Arial" w:hAnsi="Arial"/>
                <w:sz w:val="18"/>
              </w:rPr>
              <w:t>GRI 305-4</w:t>
            </w:r>
          </w:p>
        </w:tc>
        <w:tc>
          <w:tcPr>
            <w:tcW w:type="dxa" w:w="2257"/>
            <w:shd w:fill="F2F6FC" w:val="clear"/>
          </w:tcPr>
          <w:p>
            <w:r>
              <w:rPr>
                <w:rFonts w:ascii="Arial" w:hAnsi="Arial"/>
                <w:sz w:val="18"/>
              </w:rPr>
              <w:t>GHG emissions intensity</w:t>
            </w:r>
          </w:p>
        </w:tc>
        <w:tc>
          <w:tcPr>
            <w:tcW w:type="dxa" w:w="2257"/>
            <w:shd w:fill="F2F6FC" w:val="clear"/>
          </w:tcPr>
          <w:p>
            <w:r>
              <w:rPr>
                <w:rFonts w:ascii="Arial" w:hAnsi="Arial"/>
                <w:sz w:val="18"/>
              </w:rPr>
              <w:t>Section: Intensity</w:t>
            </w:r>
          </w:p>
        </w:tc>
        <w:tc>
          <w:tcPr>
            <w:tcW w:type="dxa" w:w="2257"/>
            <w:shd w:fill="F2F6FC" w:val="clear"/>
          </w:tcPr>
          <w:p>
            <w:r>
              <w:rPr>
                <w:rFonts w:ascii="Arial" w:hAnsi="Arial"/>
                <w:sz w:val="18"/>
              </w:rPr>
              <w:t>None</w:t>
            </w:r>
          </w:p>
        </w:tc>
      </w:tr>
      <w:tr>
        <w:tc>
          <w:tcPr>
            <w:tcW w:type="dxa" w:w="2257"/>
          </w:tcPr>
          <w:p>
            <w:r>
              <w:rPr>
                <w:rFonts w:ascii="Arial" w:hAnsi="Arial"/>
                <w:sz w:val="18"/>
              </w:rPr>
              <w:t>GRI 305-5</w:t>
            </w:r>
          </w:p>
        </w:tc>
        <w:tc>
          <w:tcPr>
            <w:tcW w:type="dxa" w:w="2257"/>
          </w:tcPr>
          <w:p>
            <w:r>
              <w:rPr>
                <w:rFonts w:ascii="Arial" w:hAnsi="Arial"/>
                <w:sz w:val="18"/>
              </w:rPr>
              <w:t>Reduction of GHG emissions</w:t>
            </w:r>
          </w:p>
        </w:tc>
        <w:tc>
          <w:tcPr>
            <w:tcW w:type="dxa" w:w="2257"/>
          </w:tcPr>
          <w:p>
            <w:r>
              <w:rPr>
                <w:rFonts w:ascii="Arial" w:hAnsi="Arial"/>
                <w:sz w:val="18"/>
              </w:rPr>
              <w:t>Section: Reduction</w:t>
            </w:r>
          </w:p>
        </w:tc>
        <w:tc>
          <w:tcPr>
            <w:tcW w:type="dxa" w:w="2257"/>
          </w:tcPr>
          <w:p>
            <w:r>
              <w:rPr>
                <w:rFonts w:ascii="Arial" w:hAnsi="Arial"/>
                <w:sz w:val="18"/>
              </w:rPr>
              <w:t>Partial — targets in development</w:t>
            </w:r>
          </w:p>
        </w:tc>
      </w:tr>
    </w:tbl>
    <w:p>
      <w:r>
        <w:rPr>
          <w:rFonts w:ascii="Arial" w:hAnsi="Arial"/>
          <w:i/>
          <w:sz w:val="16"/>
        </w:rPr>
        <w:t>Source: GRI Standards 2021</w:t>
      </w:r>
    </w:p>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808080"/>
        <w:sz w:val="18"/>
      </w:rPr>
      <w:t>ESG Report GRI_305 2024</w:t>
    </w:r>
    <w:r>
      <w:tab/>
      <w:tab/>
    </w:r>
    <w:r>
      <w:rPr>
        <w:color w:val="808080"/>
        <w:sz w:val="18"/>
      </w:rPr>
      <w:t xml:space="preserve">Page </w:t>
    </w:r>
    <w:r>
      <w:rPr>
        <w:color w:val="808080"/>
        <w:sz w:val="18"/>
      </w:rPr>
      <w:fldChar w:fldCharType="begin"/>
      <w:instrText xml:space="preserve"> PAGE </w:instrText>
      <w:fldChar w:fldCharType="end"/>
    </w:r>
    <w:r>
      <w:rPr>
        <w:color w:val="808080"/>
        <w:sz w:val="18"/>
      </w:rPr>
      <w:t xml:space="preserve"> of </w:t>
    </w:r>
    <w:r>
      <w:rPr>
        <w:color w:val="808080"/>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8"/>
      </w:rPr>
      <w:t>GENERIC_FI_001 | Reporting Year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Sustainability Report 2024 - GRI_305</dc:title>
  <dc:subject>GHG Emissions Disclosure - GRI_305</dc:subject>
  <dc:creator>ESG Reporting System (GENERIC_FI_001)</dc:creator>
  <cp:keywords>ESG, GHG, GRI_305, 2024, PCAF, Scope1, Scope2, Scope3</cp:keywords>
  <dc:description>Generated by execution: arn:aws:states:us-east-1:061039769766:execution:ESGReportGenerationStateMachine:d670ab27-ceff-48fa-9a93-65511b451c10</dc:description>
  <cp:lastModifiedBy/>
  <cp:revision>1</cp:revision>
  <dcterms:created xsi:type="dcterms:W3CDTF">2013-12-23T23:15:00Z</dcterms:created>
  <dcterms:modified xsi:type="dcterms:W3CDTF">2013-12-23T23:15:00Z</dcterms:modified>
  <cp:category>ESG Sustainability Report</cp:category>
</cp:coreProperties>
</file>